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9582" w14:textId="1226CBDE" w:rsidR="004B1AFB" w:rsidRDefault="00486ED3" w:rsidP="004B1AFB">
      <w:pPr>
        <w:spacing w:after="0" w:line="240" w:lineRule="auto"/>
        <w:rPr>
          <w:b/>
          <w:bCs/>
          <w:sz w:val="28"/>
          <w:szCs w:val="28"/>
          <w:lang w:val="en-GB"/>
        </w:rPr>
      </w:pPr>
      <w:r w:rsidRPr="003E53DD">
        <w:rPr>
          <w:b/>
          <w:bCs/>
          <w:sz w:val="28"/>
          <w:szCs w:val="28"/>
          <w:lang w:val="en-GB"/>
        </w:rPr>
        <w:t xml:space="preserve">Annex </w:t>
      </w:r>
      <w:r w:rsidR="004B1AFB">
        <w:rPr>
          <w:b/>
          <w:bCs/>
          <w:sz w:val="28"/>
          <w:szCs w:val="28"/>
          <w:lang w:val="en-GB"/>
        </w:rPr>
        <w:t>III</w:t>
      </w:r>
      <w:r w:rsidRPr="003E53DD">
        <w:rPr>
          <w:b/>
          <w:bCs/>
          <w:sz w:val="28"/>
          <w:szCs w:val="28"/>
          <w:lang w:val="en-GB"/>
        </w:rPr>
        <w:t xml:space="preserve"> </w:t>
      </w:r>
    </w:p>
    <w:p w14:paraId="6B597943" w14:textId="0AD6FD1A" w:rsidR="00FB5B16" w:rsidRDefault="004B1AFB" w:rsidP="004B1AFB">
      <w:pPr>
        <w:spacing w:after="0" w:line="240" w:lineRule="auto"/>
        <w:rPr>
          <w:b/>
          <w:bCs/>
          <w:sz w:val="28"/>
          <w:szCs w:val="28"/>
          <w:lang w:val="en-GB"/>
        </w:rPr>
      </w:pPr>
      <w:r>
        <w:rPr>
          <w:b/>
          <w:bCs/>
          <w:sz w:val="28"/>
          <w:szCs w:val="28"/>
          <w:lang w:val="en-GB"/>
        </w:rPr>
        <w:t xml:space="preserve">UNCDF </w:t>
      </w:r>
      <w:r w:rsidR="0040585D">
        <w:rPr>
          <w:b/>
          <w:bCs/>
          <w:sz w:val="28"/>
          <w:szCs w:val="28"/>
          <w:lang w:val="en-GB"/>
        </w:rPr>
        <w:t xml:space="preserve">Strategic Framework </w:t>
      </w:r>
      <w:r w:rsidRPr="003E53DD">
        <w:rPr>
          <w:b/>
          <w:bCs/>
          <w:sz w:val="28"/>
          <w:szCs w:val="28"/>
          <w:lang w:val="en-GB"/>
        </w:rPr>
        <w:t>2022 – 2025</w:t>
      </w:r>
      <w:r>
        <w:rPr>
          <w:b/>
          <w:bCs/>
          <w:sz w:val="28"/>
          <w:szCs w:val="28"/>
          <w:lang w:val="en-GB"/>
        </w:rPr>
        <w:t xml:space="preserve">: </w:t>
      </w:r>
      <w:r w:rsidR="0040585D">
        <w:rPr>
          <w:b/>
          <w:bCs/>
          <w:sz w:val="28"/>
          <w:szCs w:val="28"/>
          <w:lang w:val="en-GB"/>
        </w:rPr>
        <w:t xml:space="preserve">Evaluation Plan </w:t>
      </w:r>
    </w:p>
    <w:p w14:paraId="0518A89C" w14:textId="77777777" w:rsidR="004B1AFB" w:rsidRPr="003E53DD" w:rsidRDefault="004B1AFB" w:rsidP="004B1AFB">
      <w:pPr>
        <w:spacing w:after="0" w:line="240" w:lineRule="auto"/>
        <w:rPr>
          <w:b/>
          <w:bCs/>
          <w:sz w:val="28"/>
          <w:szCs w:val="28"/>
          <w:lang w:val="en-GB"/>
        </w:rPr>
      </w:pPr>
    </w:p>
    <w:p w14:paraId="0D5F5583" w14:textId="3CC692CD" w:rsidR="00486ED3" w:rsidRPr="00486ED3" w:rsidRDefault="00486ED3">
      <w:pPr>
        <w:rPr>
          <w:b/>
          <w:bCs/>
          <w:u w:val="single"/>
          <w:lang w:val="en-GB"/>
        </w:rPr>
      </w:pPr>
      <w:r w:rsidRPr="00486ED3">
        <w:rPr>
          <w:b/>
          <w:bCs/>
          <w:u w:val="single"/>
          <w:lang w:val="en-GB"/>
        </w:rPr>
        <w:t>1. Introduction</w:t>
      </w:r>
    </w:p>
    <w:p w14:paraId="62C2272F" w14:textId="637DD02C" w:rsidR="00486ED3" w:rsidRPr="00E16CCC" w:rsidRDefault="003E53DD" w:rsidP="00486ED3">
      <w:pPr>
        <w:jc w:val="both"/>
        <w:rPr>
          <w:sz w:val="24"/>
          <w:szCs w:val="24"/>
        </w:rPr>
      </w:pPr>
      <w:r>
        <w:rPr>
          <w:sz w:val="24"/>
          <w:szCs w:val="24"/>
          <w:lang w:val="en-GB"/>
        </w:rPr>
        <w:t xml:space="preserve">In line with the </w:t>
      </w:r>
      <w:r w:rsidR="00486ED3">
        <w:rPr>
          <w:sz w:val="24"/>
          <w:szCs w:val="24"/>
          <w:lang w:val="en-GB"/>
        </w:rPr>
        <w:t xml:space="preserve">provisions of </w:t>
      </w:r>
      <w:r w:rsidR="00486ED3">
        <w:rPr>
          <w:sz w:val="24"/>
          <w:szCs w:val="24"/>
        </w:rPr>
        <w:t>UNDP</w:t>
      </w:r>
      <w:r>
        <w:rPr>
          <w:sz w:val="24"/>
          <w:szCs w:val="24"/>
        </w:rPr>
        <w:t>’s</w:t>
      </w:r>
      <w:r w:rsidR="00486ED3">
        <w:rPr>
          <w:sz w:val="24"/>
          <w:szCs w:val="24"/>
        </w:rPr>
        <w:t xml:space="preserve"> </w:t>
      </w:r>
      <w:r w:rsidR="00486ED3" w:rsidRPr="00E16CCC">
        <w:rPr>
          <w:sz w:val="24"/>
          <w:szCs w:val="24"/>
        </w:rPr>
        <w:t xml:space="preserve">Evaluation Policy </w:t>
      </w:r>
      <w:r w:rsidR="00486ED3">
        <w:rPr>
          <w:sz w:val="24"/>
          <w:szCs w:val="24"/>
        </w:rPr>
        <w:t>(to which it is party)</w:t>
      </w:r>
      <w:r w:rsidR="000F7BC3">
        <w:rPr>
          <w:rStyle w:val="FootnoteReference"/>
          <w:sz w:val="24"/>
          <w:szCs w:val="24"/>
        </w:rPr>
        <w:footnoteReference w:id="1"/>
      </w:r>
      <w:r w:rsidR="00486ED3">
        <w:rPr>
          <w:sz w:val="24"/>
          <w:szCs w:val="24"/>
        </w:rPr>
        <w:t xml:space="preserve">, UNCDF </w:t>
      </w:r>
      <w:r w:rsidR="0040585D">
        <w:rPr>
          <w:sz w:val="24"/>
          <w:szCs w:val="24"/>
        </w:rPr>
        <w:t xml:space="preserve">is required to </w:t>
      </w:r>
      <w:r w:rsidR="00486ED3" w:rsidRPr="00E16CCC">
        <w:rPr>
          <w:sz w:val="24"/>
          <w:szCs w:val="24"/>
        </w:rPr>
        <w:t>establish</w:t>
      </w:r>
      <w:r w:rsidR="0040585D">
        <w:rPr>
          <w:sz w:val="24"/>
          <w:szCs w:val="24"/>
        </w:rPr>
        <w:t xml:space="preserve"> </w:t>
      </w:r>
      <w:r w:rsidR="00486ED3" w:rsidRPr="00E16CCC">
        <w:rPr>
          <w:sz w:val="24"/>
          <w:szCs w:val="24"/>
        </w:rPr>
        <w:t xml:space="preserve">a multi-year evaluation plan that is aligned with its </w:t>
      </w:r>
      <w:r w:rsidR="00486ED3">
        <w:rPr>
          <w:sz w:val="24"/>
          <w:szCs w:val="24"/>
        </w:rPr>
        <w:t>Strategic Framework</w:t>
      </w:r>
      <w:r w:rsidR="0040585D">
        <w:rPr>
          <w:sz w:val="24"/>
          <w:szCs w:val="24"/>
        </w:rPr>
        <w:t xml:space="preserve">. It is also </w:t>
      </w:r>
      <w:r w:rsidR="00486ED3">
        <w:rPr>
          <w:sz w:val="24"/>
          <w:szCs w:val="24"/>
        </w:rPr>
        <w:t xml:space="preserve"> </w:t>
      </w:r>
      <w:r w:rsidR="0040585D">
        <w:rPr>
          <w:sz w:val="24"/>
          <w:szCs w:val="24"/>
        </w:rPr>
        <w:t xml:space="preserve">required to </w:t>
      </w:r>
      <w:r w:rsidR="00486ED3">
        <w:rPr>
          <w:sz w:val="24"/>
          <w:szCs w:val="24"/>
        </w:rPr>
        <w:t xml:space="preserve">propose a </w:t>
      </w:r>
      <w:r w:rsidR="00486ED3" w:rsidRPr="00E16CCC">
        <w:rPr>
          <w:sz w:val="24"/>
          <w:szCs w:val="24"/>
        </w:rPr>
        <w:t xml:space="preserve">biennial costed programme of work for evaluation </w:t>
      </w:r>
      <w:r w:rsidR="0040585D">
        <w:rPr>
          <w:sz w:val="24"/>
          <w:szCs w:val="24"/>
        </w:rPr>
        <w:t xml:space="preserve">over the period 2022 – 2023 </w:t>
      </w:r>
      <w:r w:rsidR="00CB4337">
        <w:rPr>
          <w:sz w:val="24"/>
          <w:szCs w:val="24"/>
        </w:rPr>
        <w:t xml:space="preserve">in </w:t>
      </w:r>
      <w:r w:rsidR="0040585D">
        <w:rPr>
          <w:sz w:val="24"/>
          <w:szCs w:val="24"/>
        </w:rPr>
        <w:t xml:space="preserve">support of the </w:t>
      </w:r>
      <w:r w:rsidR="00CB4337">
        <w:rPr>
          <w:sz w:val="24"/>
          <w:szCs w:val="24"/>
        </w:rPr>
        <w:t xml:space="preserve">main objectives of </w:t>
      </w:r>
      <w:r w:rsidR="0040585D">
        <w:rPr>
          <w:sz w:val="24"/>
          <w:szCs w:val="24"/>
        </w:rPr>
        <w:t xml:space="preserve">the </w:t>
      </w:r>
      <w:r w:rsidR="00CB4337">
        <w:rPr>
          <w:sz w:val="24"/>
          <w:szCs w:val="24"/>
        </w:rPr>
        <w:t>Strategic Framework</w:t>
      </w:r>
      <w:r w:rsidR="00093600">
        <w:rPr>
          <w:sz w:val="24"/>
          <w:szCs w:val="24"/>
        </w:rPr>
        <w:t xml:space="preserve"> </w:t>
      </w:r>
      <w:r w:rsidR="00DD467A">
        <w:rPr>
          <w:sz w:val="24"/>
          <w:szCs w:val="24"/>
        </w:rPr>
        <w:t xml:space="preserve">and </w:t>
      </w:r>
      <w:r w:rsidR="0040585D">
        <w:rPr>
          <w:sz w:val="24"/>
          <w:szCs w:val="24"/>
        </w:rPr>
        <w:t xml:space="preserve">UNCDF’s </w:t>
      </w:r>
      <w:r w:rsidR="00DD467A">
        <w:rPr>
          <w:sz w:val="24"/>
          <w:szCs w:val="24"/>
        </w:rPr>
        <w:t>oversight and accountability obligations</w:t>
      </w:r>
      <w:r w:rsidR="00253AE3">
        <w:rPr>
          <w:sz w:val="24"/>
          <w:szCs w:val="24"/>
        </w:rPr>
        <w:t xml:space="preserve"> to its Member States</w:t>
      </w:r>
      <w:r w:rsidR="00CB4337">
        <w:rPr>
          <w:sz w:val="24"/>
          <w:szCs w:val="24"/>
        </w:rPr>
        <w:t xml:space="preserve">. </w:t>
      </w:r>
    </w:p>
    <w:p w14:paraId="29C7C98B" w14:textId="4D3699FF" w:rsidR="00486ED3" w:rsidRDefault="00486ED3" w:rsidP="00486ED3">
      <w:pPr>
        <w:jc w:val="both"/>
        <w:rPr>
          <w:sz w:val="24"/>
          <w:szCs w:val="24"/>
        </w:rPr>
      </w:pPr>
      <w:r w:rsidRPr="00E16CCC">
        <w:rPr>
          <w:sz w:val="24"/>
          <w:szCs w:val="24"/>
        </w:rPr>
        <w:t>This Annex describes the broader objectives that the evaluation function in UNCDF is expected to meet over this period</w:t>
      </w:r>
      <w:r w:rsidR="0040585D">
        <w:rPr>
          <w:sz w:val="24"/>
          <w:szCs w:val="24"/>
        </w:rPr>
        <w:t>,</w:t>
      </w:r>
      <w:r w:rsidRPr="00E16CCC">
        <w:rPr>
          <w:sz w:val="24"/>
          <w:szCs w:val="24"/>
        </w:rPr>
        <w:t xml:space="preserve"> </w:t>
      </w:r>
      <w:r w:rsidR="0040585D">
        <w:rPr>
          <w:sz w:val="24"/>
          <w:szCs w:val="24"/>
        </w:rPr>
        <w:t xml:space="preserve">as well as the main approaches to be followed, in support of </w:t>
      </w:r>
      <w:r>
        <w:rPr>
          <w:sz w:val="24"/>
          <w:szCs w:val="24"/>
        </w:rPr>
        <w:t xml:space="preserve">UNCDF’s evolving mandate as a </w:t>
      </w:r>
      <w:r w:rsidR="0040585D">
        <w:rPr>
          <w:sz w:val="24"/>
          <w:szCs w:val="24"/>
        </w:rPr>
        <w:t xml:space="preserve">hybrid </w:t>
      </w:r>
      <w:r>
        <w:rPr>
          <w:sz w:val="24"/>
          <w:szCs w:val="24"/>
        </w:rPr>
        <w:t xml:space="preserve">UN development finance </w:t>
      </w:r>
      <w:proofErr w:type="spellStart"/>
      <w:r>
        <w:rPr>
          <w:sz w:val="24"/>
          <w:szCs w:val="24"/>
        </w:rPr>
        <w:t>organisation</w:t>
      </w:r>
      <w:proofErr w:type="spellEnd"/>
      <w:r>
        <w:rPr>
          <w:sz w:val="24"/>
          <w:szCs w:val="24"/>
        </w:rPr>
        <w:t xml:space="preserve"> </w:t>
      </w:r>
      <w:r w:rsidR="00DD467A">
        <w:rPr>
          <w:sz w:val="24"/>
          <w:szCs w:val="24"/>
        </w:rPr>
        <w:t xml:space="preserve">helping </w:t>
      </w:r>
      <w:r>
        <w:rPr>
          <w:sz w:val="24"/>
          <w:szCs w:val="24"/>
        </w:rPr>
        <w:t xml:space="preserve">the </w:t>
      </w:r>
      <w:r w:rsidR="002B6E00">
        <w:rPr>
          <w:sz w:val="24"/>
          <w:szCs w:val="24"/>
        </w:rPr>
        <w:t>l</w:t>
      </w:r>
      <w:r w:rsidR="00DD467A">
        <w:rPr>
          <w:sz w:val="24"/>
          <w:szCs w:val="24"/>
        </w:rPr>
        <w:t xml:space="preserve">east </w:t>
      </w:r>
      <w:r w:rsidR="002B6E00">
        <w:rPr>
          <w:sz w:val="24"/>
          <w:szCs w:val="24"/>
        </w:rPr>
        <w:t>d</w:t>
      </w:r>
      <w:r w:rsidR="00DD467A">
        <w:rPr>
          <w:sz w:val="24"/>
          <w:szCs w:val="24"/>
        </w:rPr>
        <w:t xml:space="preserve">eveloped </w:t>
      </w:r>
      <w:r w:rsidR="002B6E00">
        <w:rPr>
          <w:sz w:val="24"/>
          <w:szCs w:val="24"/>
        </w:rPr>
        <w:t>c</w:t>
      </w:r>
      <w:r w:rsidR="00DD467A">
        <w:rPr>
          <w:sz w:val="24"/>
          <w:szCs w:val="24"/>
        </w:rPr>
        <w:t xml:space="preserve">ountries </w:t>
      </w:r>
      <w:r>
        <w:rPr>
          <w:sz w:val="24"/>
          <w:szCs w:val="24"/>
        </w:rPr>
        <w:t>to meet the SDGs</w:t>
      </w:r>
      <w:r w:rsidR="0040585D">
        <w:rPr>
          <w:sz w:val="24"/>
          <w:szCs w:val="24"/>
        </w:rPr>
        <w:t>.</w:t>
      </w:r>
      <w:r>
        <w:rPr>
          <w:sz w:val="24"/>
          <w:szCs w:val="24"/>
        </w:rPr>
        <w:t xml:space="preserve"> </w:t>
      </w:r>
    </w:p>
    <w:p w14:paraId="6C0179CA" w14:textId="53B2D9B0" w:rsidR="00486ED3" w:rsidRPr="00E16CCC" w:rsidRDefault="0040585D" w:rsidP="00486ED3">
      <w:pPr>
        <w:jc w:val="both"/>
        <w:rPr>
          <w:sz w:val="24"/>
          <w:szCs w:val="24"/>
        </w:rPr>
      </w:pPr>
      <w:r>
        <w:rPr>
          <w:sz w:val="24"/>
          <w:szCs w:val="24"/>
        </w:rPr>
        <w:t xml:space="preserve">The Annex </w:t>
      </w:r>
      <w:r w:rsidR="00486ED3" w:rsidRPr="00E16CCC">
        <w:rPr>
          <w:sz w:val="24"/>
          <w:szCs w:val="24"/>
        </w:rPr>
        <w:t>also describes UNDCF’s plans for continuing its partnership with UNDP’s Independent Evaluation Office</w:t>
      </w:r>
      <w:r>
        <w:rPr>
          <w:sz w:val="24"/>
          <w:szCs w:val="24"/>
        </w:rPr>
        <w:t xml:space="preserve"> (IEO)</w:t>
      </w:r>
      <w:r w:rsidR="00486ED3" w:rsidRPr="00E16CCC">
        <w:rPr>
          <w:sz w:val="24"/>
          <w:szCs w:val="24"/>
        </w:rPr>
        <w:t>, the continued participation of its Evaluation Unit in the United Nations Evaluation Group</w:t>
      </w:r>
      <w:r w:rsidR="00253AE3">
        <w:rPr>
          <w:sz w:val="24"/>
          <w:szCs w:val="24"/>
        </w:rPr>
        <w:t xml:space="preserve"> (UNEG) </w:t>
      </w:r>
      <w:r w:rsidR="000F7BC3">
        <w:rPr>
          <w:sz w:val="24"/>
          <w:szCs w:val="24"/>
        </w:rPr>
        <w:t xml:space="preserve">and in UN system-wide evaluation initiatives, </w:t>
      </w:r>
      <w:r w:rsidR="00486ED3" w:rsidRPr="00E16CCC">
        <w:rPr>
          <w:sz w:val="24"/>
          <w:szCs w:val="24"/>
        </w:rPr>
        <w:t xml:space="preserve">as well as collaboration where possible with its key development partners in the design and implementation of </w:t>
      </w:r>
      <w:r w:rsidR="00BD30D5">
        <w:rPr>
          <w:sz w:val="24"/>
          <w:szCs w:val="24"/>
        </w:rPr>
        <w:t xml:space="preserve">UNCDF </w:t>
      </w:r>
      <w:r w:rsidR="00486ED3" w:rsidRPr="00E16CCC">
        <w:rPr>
          <w:sz w:val="24"/>
          <w:szCs w:val="24"/>
        </w:rPr>
        <w:t xml:space="preserve">evaluations. </w:t>
      </w:r>
      <w:r w:rsidR="00BC0407">
        <w:rPr>
          <w:sz w:val="24"/>
          <w:szCs w:val="24"/>
        </w:rPr>
        <w:t xml:space="preserve"> </w:t>
      </w:r>
      <w:r w:rsidR="00486ED3" w:rsidRPr="00E16CCC">
        <w:rPr>
          <w:sz w:val="24"/>
          <w:szCs w:val="24"/>
        </w:rPr>
        <w:t>It concludes with a proposed indicative Evaluation Plan for the period 20</w:t>
      </w:r>
      <w:r w:rsidR="00486ED3">
        <w:rPr>
          <w:sz w:val="24"/>
          <w:szCs w:val="24"/>
        </w:rPr>
        <w:t>22</w:t>
      </w:r>
      <w:r w:rsidR="00486ED3" w:rsidRPr="00E16CCC">
        <w:rPr>
          <w:sz w:val="24"/>
          <w:szCs w:val="24"/>
        </w:rPr>
        <w:t xml:space="preserve"> - 202</w:t>
      </w:r>
      <w:r w:rsidR="00486ED3">
        <w:rPr>
          <w:sz w:val="24"/>
          <w:szCs w:val="24"/>
        </w:rPr>
        <w:t>5</w:t>
      </w:r>
      <w:r w:rsidR="00486ED3" w:rsidRPr="00E16CCC">
        <w:rPr>
          <w:sz w:val="24"/>
          <w:szCs w:val="24"/>
        </w:rPr>
        <w:t>.</w:t>
      </w:r>
      <w:r w:rsidR="00486ED3" w:rsidRPr="00E16CCC">
        <w:rPr>
          <w:rStyle w:val="FootnoteReference"/>
          <w:sz w:val="24"/>
          <w:szCs w:val="24"/>
        </w:rPr>
        <w:footnoteReference w:id="2"/>
      </w:r>
    </w:p>
    <w:p w14:paraId="530B7F39" w14:textId="2C04F40E" w:rsidR="00486ED3" w:rsidRDefault="00486ED3">
      <w:pPr>
        <w:rPr>
          <w:b/>
          <w:bCs/>
          <w:u w:val="single"/>
        </w:rPr>
      </w:pPr>
      <w:r w:rsidRPr="00486ED3">
        <w:rPr>
          <w:b/>
          <w:bCs/>
          <w:u w:val="single"/>
        </w:rPr>
        <w:t>2. Evaluation in the Strategic Framework 20</w:t>
      </w:r>
      <w:r w:rsidR="00CB69BB">
        <w:rPr>
          <w:b/>
          <w:bCs/>
          <w:u w:val="single"/>
        </w:rPr>
        <w:t>22</w:t>
      </w:r>
      <w:r w:rsidRPr="00486ED3">
        <w:rPr>
          <w:b/>
          <w:bCs/>
          <w:u w:val="single"/>
        </w:rPr>
        <w:t xml:space="preserve"> </w:t>
      </w:r>
      <w:r>
        <w:rPr>
          <w:b/>
          <w:bCs/>
          <w:u w:val="single"/>
        </w:rPr>
        <w:t>–</w:t>
      </w:r>
      <w:r w:rsidRPr="00486ED3">
        <w:rPr>
          <w:b/>
          <w:bCs/>
          <w:u w:val="single"/>
        </w:rPr>
        <w:t xml:space="preserve"> 202</w:t>
      </w:r>
      <w:r w:rsidR="00CB69BB">
        <w:rPr>
          <w:b/>
          <w:bCs/>
          <w:u w:val="single"/>
        </w:rPr>
        <w:t>5</w:t>
      </w:r>
    </w:p>
    <w:p w14:paraId="7BBDAED9" w14:textId="0F561D2B" w:rsidR="00CB4337" w:rsidRDefault="00A04193" w:rsidP="00A04193">
      <w:pPr>
        <w:jc w:val="both"/>
        <w:rPr>
          <w:sz w:val="24"/>
          <w:szCs w:val="24"/>
        </w:rPr>
      </w:pPr>
      <w:r w:rsidRPr="00E16CCC">
        <w:rPr>
          <w:sz w:val="24"/>
          <w:szCs w:val="24"/>
        </w:rPr>
        <w:t xml:space="preserve">In its Strategic Framework, UNCDF makes clear its intention to continue to </w:t>
      </w:r>
      <w:r w:rsidR="00DD467A">
        <w:rPr>
          <w:sz w:val="24"/>
          <w:szCs w:val="24"/>
        </w:rPr>
        <w:t xml:space="preserve">ensure </w:t>
      </w:r>
      <w:r w:rsidR="00CB4337">
        <w:rPr>
          <w:sz w:val="24"/>
          <w:szCs w:val="24"/>
        </w:rPr>
        <w:t>an appropriately – resourced evaluation function</w:t>
      </w:r>
      <w:r w:rsidR="00232D24">
        <w:rPr>
          <w:rStyle w:val="FootnoteReference"/>
          <w:sz w:val="24"/>
          <w:szCs w:val="24"/>
        </w:rPr>
        <w:footnoteReference w:id="3"/>
      </w:r>
      <w:r w:rsidR="00CB4337">
        <w:rPr>
          <w:sz w:val="24"/>
          <w:szCs w:val="24"/>
        </w:rPr>
        <w:t xml:space="preserve"> that can support the independent evaluation of selected </w:t>
      </w:r>
      <w:r w:rsidRPr="00E16CCC">
        <w:rPr>
          <w:sz w:val="24"/>
          <w:szCs w:val="24"/>
        </w:rPr>
        <w:t xml:space="preserve">key programmes and projects at the mid-term and final points of </w:t>
      </w:r>
      <w:r w:rsidR="00CB4337">
        <w:rPr>
          <w:sz w:val="24"/>
          <w:szCs w:val="24"/>
        </w:rPr>
        <w:t xml:space="preserve">their </w:t>
      </w:r>
      <w:r w:rsidRPr="00E16CCC">
        <w:rPr>
          <w:sz w:val="24"/>
          <w:szCs w:val="24"/>
        </w:rPr>
        <w:t xml:space="preserve">implementation. </w:t>
      </w:r>
      <w:r w:rsidR="00CB4337">
        <w:rPr>
          <w:sz w:val="24"/>
          <w:szCs w:val="24"/>
        </w:rPr>
        <w:t>It also commits to increasingly pursue thematic or portfolio evaluations to capture UNCDF’s performance at the organisational level overall and across key themes and priority areas of UNCDF’s work</w:t>
      </w:r>
      <w:r w:rsidR="00DD467A">
        <w:rPr>
          <w:sz w:val="24"/>
          <w:szCs w:val="24"/>
        </w:rPr>
        <w:t xml:space="preserve"> – including with its key partners</w:t>
      </w:r>
      <w:r w:rsidR="00CB4337">
        <w:rPr>
          <w:sz w:val="24"/>
          <w:szCs w:val="24"/>
        </w:rPr>
        <w:t>.</w:t>
      </w:r>
      <w:r w:rsidR="00CB4337">
        <w:rPr>
          <w:rStyle w:val="FootnoteReference"/>
          <w:sz w:val="24"/>
          <w:szCs w:val="24"/>
        </w:rPr>
        <w:footnoteReference w:id="4"/>
      </w:r>
      <w:r w:rsidR="00CB4337">
        <w:rPr>
          <w:sz w:val="24"/>
          <w:szCs w:val="24"/>
        </w:rPr>
        <w:t xml:space="preserve"> </w:t>
      </w:r>
    </w:p>
    <w:p w14:paraId="645F17DF" w14:textId="16388EEA" w:rsidR="000F7BC3" w:rsidRDefault="00CB4337" w:rsidP="0040585D">
      <w:pPr>
        <w:spacing w:before="240"/>
        <w:jc w:val="both"/>
        <w:rPr>
          <w:sz w:val="24"/>
          <w:szCs w:val="24"/>
        </w:rPr>
      </w:pPr>
      <w:r>
        <w:rPr>
          <w:sz w:val="24"/>
          <w:szCs w:val="24"/>
        </w:rPr>
        <w:t xml:space="preserve">In implementing its Evaluation Plan, UNCDF will continue to seek partnerships with other UN evaluation offices </w:t>
      </w:r>
      <w:r w:rsidR="000F7BC3">
        <w:rPr>
          <w:sz w:val="24"/>
          <w:szCs w:val="24"/>
        </w:rPr>
        <w:t>– including UNDP</w:t>
      </w:r>
      <w:r w:rsidR="00093600">
        <w:rPr>
          <w:sz w:val="24"/>
          <w:szCs w:val="24"/>
        </w:rPr>
        <w:t>’s Independent Evaluation Office</w:t>
      </w:r>
      <w:r w:rsidR="000F7BC3">
        <w:rPr>
          <w:sz w:val="24"/>
          <w:szCs w:val="24"/>
        </w:rPr>
        <w:t xml:space="preserve"> </w:t>
      </w:r>
      <w:r w:rsidR="0040585D">
        <w:rPr>
          <w:sz w:val="24"/>
          <w:szCs w:val="24"/>
        </w:rPr>
        <w:t>–</w:t>
      </w:r>
      <w:r w:rsidR="000F7BC3">
        <w:rPr>
          <w:sz w:val="24"/>
          <w:szCs w:val="24"/>
        </w:rPr>
        <w:t xml:space="preserve"> </w:t>
      </w:r>
      <w:r w:rsidR="0040585D">
        <w:rPr>
          <w:sz w:val="24"/>
          <w:szCs w:val="24"/>
        </w:rPr>
        <w:t xml:space="preserve">to </w:t>
      </w:r>
      <w:r>
        <w:rPr>
          <w:sz w:val="24"/>
          <w:szCs w:val="24"/>
        </w:rPr>
        <w:t>commission joint evaluations of UNCDF’s work with</w:t>
      </w:r>
      <w:r w:rsidR="00093600">
        <w:rPr>
          <w:sz w:val="24"/>
          <w:szCs w:val="24"/>
        </w:rPr>
        <w:t xml:space="preserve"> its </w:t>
      </w:r>
      <w:r>
        <w:rPr>
          <w:sz w:val="24"/>
          <w:szCs w:val="24"/>
        </w:rPr>
        <w:t xml:space="preserve">UN </w:t>
      </w:r>
      <w:r w:rsidR="00093600">
        <w:rPr>
          <w:sz w:val="24"/>
          <w:szCs w:val="24"/>
        </w:rPr>
        <w:t>partners</w:t>
      </w:r>
      <w:r w:rsidR="00232D24">
        <w:rPr>
          <w:sz w:val="24"/>
          <w:szCs w:val="24"/>
        </w:rPr>
        <w:t>,</w:t>
      </w:r>
      <w:r>
        <w:rPr>
          <w:sz w:val="24"/>
          <w:szCs w:val="24"/>
        </w:rPr>
        <w:t xml:space="preserve"> and it will seek to contribut</w:t>
      </w:r>
      <w:r w:rsidR="000B3E1F">
        <w:rPr>
          <w:sz w:val="24"/>
          <w:szCs w:val="24"/>
        </w:rPr>
        <w:t>e</w:t>
      </w:r>
      <w:r w:rsidR="00232D24">
        <w:rPr>
          <w:sz w:val="24"/>
          <w:szCs w:val="24"/>
        </w:rPr>
        <w:t xml:space="preserve">, </w:t>
      </w:r>
      <w:r>
        <w:rPr>
          <w:sz w:val="24"/>
          <w:szCs w:val="24"/>
        </w:rPr>
        <w:t>where possible</w:t>
      </w:r>
      <w:r w:rsidR="00232D24">
        <w:rPr>
          <w:sz w:val="24"/>
          <w:szCs w:val="24"/>
        </w:rPr>
        <w:t>,</w:t>
      </w:r>
      <w:r>
        <w:rPr>
          <w:sz w:val="24"/>
          <w:szCs w:val="24"/>
        </w:rPr>
        <w:t xml:space="preserve"> </w:t>
      </w:r>
      <w:r>
        <w:rPr>
          <w:sz w:val="24"/>
          <w:szCs w:val="24"/>
        </w:rPr>
        <w:lastRenderedPageBreak/>
        <w:t xml:space="preserve">to new system-wide evaluation initiatives </w:t>
      </w:r>
      <w:r w:rsidR="00093600">
        <w:rPr>
          <w:sz w:val="24"/>
          <w:szCs w:val="24"/>
        </w:rPr>
        <w:t xml:space="preserve">– such as evaluations of the UN’s Sustainable Development Cooperation Frameworks. </w:t>
      </w:r>
    </w:p>
    <w:p w14:paraId="38100A7B" w14:textId="4CF1930F" w:rsidR="00093600" w:rsidRDefault="000F7BC3" w:rsidP="00A04193">
      <w:pPr>
        <w:jc w:val="both"/>
        <w:rPr>
          <w:sz w:val="24"/>
          <w:szCs w:val="24"/>
        </w:rPr>
      </w:pPr>
      <w:r>
        <w:rPr>
          <w:sz w:val="24"/>
          <w:szCs w:val="24"/>
        </w:rPr>
        <w:t xml:space="preserve">Within UNCDF, the Evaluation Unit will </w:t>
      </w:r>
      <w:r w:rsidR="00093600">
        <w:rPr>
          <w:sz w:val="24"/>
          <w:szCs w:val="24"/>
        </w:rPr>
        <w:t xml:space="preserve">step up its support to help </w:t>
      </w:r>
      <w:r w:rsidR="00F839E1">
        <w:rPr>
          <w:sz w:val="24"/>
          <w:szCs w:val="24"/>
        </w:rPr>
        <w:t>reinvigorate</w:t>
      </w:r>
      <w:r w:rsidR="00C029B9">
        <w:rPr>
          <w:sz w:val="24"/>
          <w:szCs w:val="24"/>
        </w:rPr>
        <w:t xml:space="preserve"> UNCDF’s</w:t>
      </w:r>
      <w:r w:rsidR="00F839E1">
        <w:rPr>
          <w:sz w:val="24"/>
          <w:szCs w:val="24"/>
        </w:rPr>
        <w:t xml:space="preserve"> results reporting and measurement systems </w:t>
      </w:r>
      <w:r w:rsidR="00093600">
        <w:rPr>
          <w:sz w:val="24"/>
          <w:szCs w:val="24"/>
        </w:rPr>
        <w:t xml:space="preserve">following </w:t>
      </w:r>
      <w:r w:rsidR="0040585D">
        <w:rPr>
          <w:sz w:val="24"/>
          <w:szCs w:val="24"/>
        </w:rPr>
        <w:t xml:space="preserve">up </w:t>
      </w:r>
      <w:r w:rsidR="00093600">
        <w:rPr>
          <w:sz w:val="24"/>
          <w:szCs w:val="24"/>
        </w:rPr>
        <w:t xml:space="preserve">the recommendations of the Strategic Framework evaluation </w:t>
      </w:r>
      <w:r w:rsidR="00F839E1">
        <w:rPr>
          <w:sz w:val="24"/>
          <w:szCs w:val="24"/>
        </w:rPr>
        <w:t>and as part of a</w:t>
      </w:r>
      <w:r w:rsidR="000B3E1F">
        <w:rPr>
          <w:sz w:val="24"/>
          <w:szCs w:val="24"/>
        </w:rPr>
        <w:t xml:space="preserve"> broader approach to improving UNCDF’s m</w:t>
      </w:r>
      <w:r w:rsidR="00F839E1">
        <w:rPr>
          <w:sz w:val="24"/>
          <w:szCs w:val="24"/>
        </w:rPr>
        <w:t>onitoring,</w:t>
      </w:r>
      <w:r w:rsidR="000B3E1F">
        <w:rPr>
          <w:sz w:val="24"/>
          <w:szCs w:val="24"/>
        </w:rPr>
        <w:t xml:space="preserve"> learning and evaluation </w:t>
      </w:r>
      <w:r w:rsidR="00F839E1">
        <w:rPr>
          <w:sz w:val="24"/>
          <w:szCs w:val="24"/>
        </w:rPr>
        <w:t>(MEL) s</w:t>
      </w:r>
      <w:r w:rsidR="000B3E1F">
        <w:rPr>
          <w:sz w:val="24"/>
          <w:szCs w:val="24"/>
        </w:rPr>
        <w:t>ystem</w:t>
      </w:r>
      <w:r w:rsidR="00F839E1">
        <w:rPr>
          <w:sz w:val="24"/>
          <w:szCs w:val="24"/>
        </w:rPr>
        <w:t xml:space="preserve">. </w:t>
      </w:r>
    </w:p>
    <w:p w14:paraId="3E002EF9" w14:textId="0B229817" w:rsidR="00A04193" w:rsidRDefault="00A04193" w:rsidP="00A04193">
      <w:pPr>
        <w:rPr>
          <w:sz w:val="24"/>
          <w:szCs w:val="24"/>
          <w:u w:val="single"/>
        </w:rPr>
      </w:pPr>
      <w:r w:rsidRPr="00A04193">
        <w:rPr>
          <w:sz w:val="24"/>
          <w:szCs w:val="24"/>
          <w:u w:val="single"/>
        </w:rPr>
        <w:t>3. Type of evaluation</w:t>
      </w:r>
      <w:r w:rsidR="00C2007B">
        <w:rPr>
          <w:sz w:val="24"/>
          <w:szCs w:val="24"/>
          <w:u w:val="single"/>
        </w:rPr>
        <w:t>s</w:t>
      </w:r>
      <w:r w:rsidRPr="00A04193">
        <w:rPr>
          <w:sz w:val="24"/>
          <w:szCs w:val="24"/>
          <w:u w:val="single"/>
        </w:rPr>
        <w:t xml:space="preserve"> proposed</w:t>
      </w:r>
    </w:p>
    <w:p w14:paraId="69F3A97F" w14:textId="3B5EDFDF" w:rsidR="00232D24" w:rsidRDefault="00CB4337" w:rsidP="00A04193">
      <w:pPr>
        <w:jc w:val="both"/>
        <w:rPr>
          <w:sz w:val="24"/>
          <w:szCs w:val="24"/>
        </w:rPr>
      </w:pPr>
      <w:r>
        <w:rPr>
          <w:sz w:val="24"/>
          <w:szCs w:val="24"/>
        </w:rPr>
        <w:t xml:space="preserve">The Evaluation Plan </w:t>
      </w:r>
      <w:r w:rsidR="003E53DD">
        <w:rPr>
          <w:sz w:val="24"/>
          <w:szCs w:val="24"/>
        </w:rPr>
        <w:t xml:space="preserve">proposed </w:t>
      </w:r>
      <w:r w:rsidR="00232D24">
        <w:rPr>
          <w:sz w:val="24"/>
          <w:szCs w:val="24"/>
        </w:rPr>
        <w:t>below includes sixteen evaluations</w:t>
      </w:r>
      <w:r w:rsidR="00DD467A">
        <w:rPr>
          <w:sz w:val="24"/>
          <w:szCs w:val="24"/>
        </w:rPr>
        <w:t xml:space="preserve"> to </w:t>
      </w:r>
      <w:r w:rsidR="00093600">
        <w:rPr>
          <w:sz w:val="24"/>
          <w:szCs w:val="24"/>
        </w:rPr>
        <w:t xml:space="preserve">be conducted </w:t>
      </w:r>
      <w:r w:rsidR="00DD467A">
        <w:rPr>
          <w:sz w:val="24"/>
          <w:szCs w:val="24"/>
        </w:rPr>
        <w:t>over the coming four years</w:t>
      </w:r>
      <w:r w:rsidR="00232D24">
        <w:rPr>
          <w:sz w:val="24"/>
          <w:szCs w:val="24"/>
        </w:rPr>
        <w:t xml:space="preserve">: </w:t>
      </w:r>
      <w:r w:rsidR="00DD467A">
        <w:rPr>
          <w:sz w:val="24"/>
          <w:szCs w:val="24"/>
        </w:rPr>
        <w:t xml:space="preserve">twelve </w:t>
      </w:r>
      <w:r w:rsidR="00232D24">
        <w:rPr>
          <w:sz w:val="24"/>
          <w:szCs w:val="24"/>
        </w:rPr>
        <w:t>project and programme evaluations and four thematic evaluations, one of which will be an evaluation of UNCDF’s Strategic Framework to be implemented in collaboration with UNDP’s Independent Evaluation Office.</w:t>
      </w:r>
    </w:p>
    <w:p w14:paraId="4651BBCB" w14:textId="2B5DEE69" w:rsidR="003E53DD" w:rsidRDefault="00D5314B" w:rsidP="00A04193">
      <w:pPr>
        <w:jc w:val="both"/>
        <w:rPr>
          <w:sz w:val="24"/>
          <w:szCs w:val="24"/>
        </w:rPr>
      </w:pPr>
      <w:r>
        <w:rPr>
          <w:sz w:val="24"/>
          <w:szCs w:val="24"/>
        </w:rPr>
        <w:t>These evaluations will cover a full range of UNCDF’s substantive work in areas such as digital financial services, local transformative finance and the financing of small and medium-sized enterprises</w:t>
      </w:r>
      <w:r w:rsidR="0040585D">
        <w:rPr>
          <w:sz w:val="24"/>
          <w:szCs w:val="24"/>
        </w:rPr>
        <w:t>,</w:t>
      </w:r>
      <w:r>
        <w:rPr>
          <w:sz w:val="24"/>
          <w:szCs w:val="24"/>
        </w:rPr>
        <w:t xml:space="preserve"> using the full array of UNCDF’s financial instruments</w:t>
      </w:r>
      <w:r w:rsidR="00093600">
        <w:rPr>
          <w:sz w:val="24"/>
          <w:szCs w:val="24"/>
        </w:rPr>
        <w:t>, including loans and guarantees</w:t>
      </w:r>
      <w:r w:rsidR="003E53DD">
        <w:rPr>
          <w:sz w:val="24"/>
          <w:szCs w:val="24"/>
        </w:rPr>
        <w:t>. In so doing, the evaluations will seek to understand the main results – direct and indirect</w:t>
      </w:r>
      <w:r w:rsidR="00253AE3">
        <w:rPr>
          <w:sz w:val="24"/>
          <w:szCs w:val="24"/>
        </w:rPr>
        <w:t>, intended and unintended</w:t>
      </w:r>
      <w:r w:rsidR="003E53DD">
        <w:rPr>
          <w:sz w:val="24"/>
          <w:szCs w:val="24"/>
        </w:rPr>
        <w:t xml:space="preserve"> – of its work with its partner organisations</w:t>
      </w:r>
      <w:r w:rsidR="000B3E1F">
        <w:rPr>
          <w:sz w:val="24"/>
          <w:szCs w:val="24"/>
        </w:rPr>
        <w:t>,</w:t>
      </w:r>
      <w:r w:rsidR="003E53DD">
        <w:rPr>
          <w:sz w:val="24"/>
          <w:szCs w:val="24"/>
        </w:rPr>
        <w:t xml:space="preserve"> and of their combined contribution</w:t>
      </w:r>
      <w:r w:rsidR="000B3E1F">
        <w:rPr>
          <w:sz w:val="24"/>
          <w:szCs w:val="24"/>
        </w:rPr>
        <w:t>s</w:t>
      </w:r>
      <w:r w:rsidR="003E53DD">
        <w:rPr>
          <w:sz w:val="24"/>
          <w:szCs w:val="24"/>
        </w:rPr>
        <w:t xml:space="preserve"> to</w:t>
      </w:r>
      <w:r w:rsidR="00DD467A">
        <w:rPr>
          <w:sz w:val="24"/>
          <w:szCs w:val="24"/>
        </w:rPr>
        <w:t xml:space="preserve"> changes in the market systems, additional flows of public and private capital as well more inclusive, diversified and green economic transformation that UNCDF seeks to </w:t>
      </w:r>
      <w:r w:rsidR="000B3E1F">
        <w:rPr>
          <w:sz w:val="24"/>
          <w:szCs w:val="24"/>
        </w:rPr>
        <w:t>support</w:t>
      </w:r>
      <w:r w:rsidR="00DD467A">
        <w:rPr>
          <w:sz w:val="24"/>
          <w:szCs w:val="24"/>
        </w:rPr>
        <w:t>.</w:t>
      </w:r>
      <w:r w:rsidR="00277363">
        <w:rPr>
          <w:sz w:val="24"/>
          <w:szCs w:val="24"/>
        </w:rPr>
        <w:t xml:space="preserve"> In doing so, the evaluations will pay close attention to UNCDF’s expected contributions to relevant SDGs such as SDG 1 (no poverty), SDG 8 (decent work and economic growth) and SDG 17 (partnerships for the Goals).</w:t>
      </w:r>
    </w:p>
    <w:p w14:paraId="36C33F72" w14:textId="2EC47F47" w:rsidR="00F839E1" w:rsidRPr="00277363" w:rsidRDefault="00D5314B" w:rsidP="00A04193">
      <w:pPr>
        <w:jc w:val="both"/>
        <w:rPr>
          <w:sz w:val="24"/>
          <w:szCs w:val="24"/>
        </w:rPr>
      </w:pPr>
      <w:r>
        <w:rPr>
          <w:sz w:val="24"/>
          <w:szCs w:val="24"/>
        </w:rPr>
        <w:t xml:space="preserve">UNCDF will continue to seek methodological innovation in its evaluation designs, drawing on emerging good practice in </w:t>
      </w:r>
      <w:r w:rsidR="00253AE3">
        <w:rPr>
          <w:sz w:val="24"/>
          <w:szCs w:val="24"/>
        </w:rPr>
        <w:t xml:space="preserve">UNEG </w:t>
      </w:r>
      <w:r>
        <w:rPr>
          <w:sz w:val="24"/>
          <w:szCs w:val="24"/>
        </w:rPr>
        <w:t>as well as other evaluation communities</w:t>
      </w:r>
      <w:r w:rsidR="00253AE3">
        <w:rPr>
          <w:sz w:val="24"/>
          <w:szCs w:val="24"/>
        </w:rPr>
        <w:t xml:space="preserve"> of practice</w:t>
      </w:r>
      <w:r>
        <w:rPr>
          <w:sz w:val="24"/>
          <w:szCs w:val="24"/>
        </w:rPr>
        <w:t xml:space="preserve"> in which it participates. </w:t>
      </w:r>
      <w:r w:rsidR="00F93AEF" w:rsidRPr="00277363">
        <w:rPr>
          <w:sz w:val="24"/>
          <w:szCs w:val="24"/>
        </w:rPr>
        <w:t xml:space="preserve">Such innovations may include use of a greater range of </w:t>
      </w:r>
      <w:r w:rsidR="00277363">
        <w:rPr>
          <w:sz w:val="24"/>
          <w:szCs w:val="24"/>
        </w:rPr>
        <w:t xml:space="preserve">relevant </w:t>
      </w:r>
      <w:r w:rsidR="00F93AEF" w:rsidRPr="00277363">
        <w:rPr>
          <w:sz w:val="24"/>
          <w:szCs w:val="24"/>
        </w:rPr>
        <w:t xml:space="preserve">evaluation methods and techniques </w:t>
      </w:r>
      <w:r w:rsidR="00F93AEF" w:rsidRPr="00093600">
        <w:rPr>
          <w:sz w:val="24"/>
          <w:szCs w:val="24"/>
        </w:rPr>
        <w:t>such</w:t>
      </w:r>
      <w:r w:rsidR="00F93AEF" w:rsidRPr="00277363">
        <w:rPr>
          <w:sz w:val="24"/>
          <w:szCs w:val="24"/>
        </w:rPr>
        <w:t xml:space="preserve"> as outcome mapping</w:t>
      </w:r>
      <w:r w:rsidR="00F839E1" w:rsidRPr="00277363">
        <w:rPr>
          <w:sz w:val="24"/>
          <w:szCs w:val="24"/>
        </w:rPr>
        <w:t xml:space="preserve">, </w:t>
      </w:r>
      <w:r w:rsidR="00F93AEF" w:rsidRPr="00277363">
        <w:rPr>
          <w:sz w:val="24"/>
          <w:szCs w:val="24"/>
        </w:rPr>
        <w:t>process tracing or</w:t>
      </w:r>
      <w:r w:rsidR="00F839E1" w:rsidRPr="00277363">
        <w:rPr>
          <w:sz w:val="24"/>
          <w:szCs w:val="24"/>
        </w:rPr>
        <w:t xml:space="preserve"> evaluation approaches such as developmental evaluation which involves evaluation teams ‘accompanying’ an </w:t>
      </w:r>
      <w:proofErr w:type="spellStart"/>
      <w:r w:rsidR="00F839E1" w:rsidRPr="00277363">
        <w:rPr>
          <w:sz w:val="24"/>
          <w:szCs w:val="24"/>
        </w:rPr>
        <w:t>organisation</w:t>
      </w:r>
      <w:proofErr w:type="spellEnd"/>
      <w:r w:rsidR="00F839E1" w:rsidRPr="00277363">
        <w:rPr>
          <w:sz w:val="24"/>
          <w:szCs w:val="24"/>
        </w:rPr>
        <w:t xml:space="preserve"> in designing and implementing new </w:t>
      </w:r>
      <w:r w:rsidR="00277363">
        <w:rPr>
          <w:sz w:val="24"/>
          <w:szCs w:val="24"/>
        </w:rPr>
        <w:t xml:space="preserve">types of </w:t>
      </w:r>
      <w:r w:rsidR="00F839E1" w:rsidRPr="00277363">
        <w:rPr>
          <w:sz w:val="24"/>
          <w:szCs w:val="24"/>
        </w:rPr>
        <w:t xml:space="preserve">development </w:t>
      </w:r>
      <w:r w:rsidR="00277363">
        <w:rPr>
          <w:sz w:val="24"/>
          <w:szCs w:val="24"/>
        </w:rPr>
        <w:t xml:space="preserve">programme and initiative </w:t>
      </w:r>
      <w:r w:rsidR="00F839E1" w:rsidRPr="00277363">
        <w:rPr>
          <w:sz w:val="24"/>
          <w:szCs w:val="24"/>
        </w:rPr>
        <w:t>using an evaluative toolkit.</w:t>
      </w:r>
    </w:p>
    <w:p w14:paraId="03977A9D" w14:textId="1EB9C231" w:rsidR="00277363" w:rsidRPr="00277363" w:rsidRDefault="000B3E1F" w:rsidP="00A04193">
      <w:pPr>
        <w:jc w:val="both"/>
        <w:rPr>
          <w:sz w:val="24"/>
          <w:szCs w:val="24"/>
        </w:rPr>
      </w:pPr>
      <w:r>
        <w:rPr>
          <w:sz w:val="24"/>
          <w:szCs w:val="24"/>
        </w:rPr>
        <w:t xml:space="preserve">With a view to better understanding the results of UNCDF’s work at the community </w:t>
      </w:r>
      <w:r w:rsidR="00BD30D5">
        <w:rPr>
          <w:sz w:val="24"/>
          <w:szCs w:val="24"/>
        </w:rPr>
        <w:t xml:space="preserve">and beneficiary </w:t>
      </w:r>
      <w:r>
        <w:rPr>
          <w:sz w:val="24"/>
          <w:szCs w:val="24"/>
        </w:rPr>
        <w:t>level in the countries in which it works, U</w:t>
      </w:r>
      <w:r w:rsidR="00F839E1" w:rsidRPr="00277363">
        <w:rPr>
          <w:sz w:val="24"/>
          <w:szCs w:val="24"/>
        </w:rPr>
        <w:t xml:space="preserve">NCDF will </w:t>
      </w:r>
      <w:r w:rsidR="00277363">
        <w:rPr>
          <w:sz w:val="24"/>
          <w:szCs w:val="24"/>
        </w:rPr>
        <w:t xml:space="preserve">maintain its focus on </w:t>
      </w:r>
      <w:r w:rsidR="00F839E1" w:rsidRPr="00277363">
        <w:rPr>
          <w:sz w:val="24"/>
          <w:szCs w:val="24"/>
        </w:rPr>
        <w:t>seek</w:t>
      </w:r>
      <w:r w:rsidR="00277363">
        <w:rPr>
          <w:sz w:val="24"/>
          <w:szCs w:val="24"/>
        </w:rPr>
        <w:t>ing</w:t>
      </w:r>
      <w:r w:rsidR="00F839E1" w:rsidRPr="00277363">
        <w:rPr>
          <w:sz w:val="24"/>
          <w:szCs w:val="24"/>
        </w:rPr>
        <w:t xml:space="preserve"> partnerships with </w:t>
      </w:r>
      <w:proofErr w:type="spellStart"/>
      <w:r w:rsidR="00F839E1" w:rsidRPr="00277363">
        <w:rPr>
          <w:sz w:val="24"/>
          <w:szCs w:val="24"/>
        </w:rPr>
        <w:t>organisations</w:t>
      </w:r>
      <w:proofErr w:type="spellEnd"/>
      <w:r w:rsidR="00F839E1" w:rsidRPr="00277363">
        <w:rPr>
          <w:sz w:val="24"/>
          <w:szCs w:val="24"/>
        </w:rPr>
        <w:t xml:space="preserve"> </w:t>
      </w:r>
      <w:r w:rsidR="00C029B9">
        <w:rPr>
          <w:sz w:val="24"/>
          <w:szCs w:val="24"/>
        </w:rPr>
        <w:t xml:space="preserve">to </w:t>
      </w:r>
      <w:r w:rsidR="00F839E1" w:rsidRPr="00277363">
        <w:rPr>
          <w:sz w:val="24"/>
          <w:szCs w:val="24"/>
        </w:rPr>
        <w:t xml:space="preserve">conduct evaluations </w:t>
      </w:r>
      <w:r w:rsidR="00F839E1" w:rsidRPr="00093600">
        <w:rPr>
          <w:sz w:val="24"/>
          <w:szCs w:val="24"/>
        </w:rPr>
        <w:t xml:space="preserve">of </w:t>
      </w:r>
      <w:r w:rsidR="00C029B9">
        <w:rPr>
          <w:sz w:val="24"/>
          <w:szCs w:val="24"/>
        </w:rPr>
        <w:t xml:space="preserve">the impact of </w:t>
      </w:r>
      <w:r w:rsidR="00F839E1" w:rsidRPr="00093600">
        <w:rPr>
          <w:sz w:val="24"/>
          <w:szCs w:val="24"/>
        </w:rPr>
        <w:t>UNCDF</w:t>
      </w:r>
      <w:r w:rsidR="00F839E1" w:rsidRPr="00277363">
        <w:rPr>
          <w:sz w:val="24"/>
          <w:szCs w:val="24"/>
        </w:rPr>
        <w:t>’s work</w:t>
      </w:r>
      <w:r w:rsidR="00C029B9">
        <w:rPr>
          <w:sz w:val="24"/>
          <w:szCs w:val="24"/>
        </w:rPr>
        <w:t xml:space="preserve"> on beneficiaries and the communities that it serves</w:t>
      </w:r>
      <w:r>
        <w:rPr>
          <w:sz w:val="24"/>
          <w:szCs w:val="24"/>
        </w:rPr>
        <w:t xml:space="preserve">. One example is </w:t>
      </w:r>
      <w:r w:rsidR="00F839E1" w:rsidRPr="00277363">
        <w:rPr>
          <w:sz w:val="24"/>
          <w:szCs w:val="24"/>
        </w:rPr>
        <w:t xml:space="preserve">the ongoing </w:t>
      </w:r>
      <w:r w:rsidR="00C029B9">
        <w:rPr>
          <w:sz w:val="24"/>
          <w:szCs w:val="24"/>
        </w:rPr>
        <w:t xml:space="preserve">counter-factual impact </w:t>
      </w:r>
      <w:r w:rsidR="00F839E1" w:rsidRPr="00277363">
        <w:rPr>
          <w:sz w:val="24"/>
          <w:szCs w:val="24"/>
        </w:rPr>
        <w:t xml:space="preserve">evaluation by the European Union of </w:t>
      </w:r>
      <w:r w:rsidR="00277363" w:rsidRPr="00277363">
        <w:rPr>
          <w:sz w:val="24"/>
          <w:szCs w:val="24"/>
        </w:rPr>
        <w:t xml:space="preserve">the joint UNCDF/SNV </w:t>
      </w:r>
      <w:r w:rsidR="00F839E1" w:rsidRPr="00277363">
        <w:rPr>
          <w:sz w:val="24"/>
          <w:szCs w:val="24"/>
        </w:rPr>
        <w:t>Boosting Green Employment and Enterprise Opportunities (</w:t>
      </w:r>
      <w:proofErr w:type="spellStart"/>
      <w:r w:rsidR="00F839E1" w:rsidRPr="00277363">
        <w:rPr>
          <w:sz w:val="24"/>
          <w:szCs w:val="24"/>
        </w:rPr>
        <w:t>GrEEn</w:t>
      </w:r>
      <w:proofErr w:type="spellEnd"/>
      <w:r w:rsidR="00F839E1" w:rsidRPr="00277363">
        <w:rPr>
          <w:sz w:val="24"/>
          <w:szCs w:val="24"/>
        </w:rPr>
        <w:t>) programme in Ghana</w:t>
      </w:r>
      <w:r w:rsidR="00277363" w:rsidRPr="00277363">
        <w:rPr>
          <w:sz w:val="24"/>
          <w:szCs w:val="24"/>
        </w:rPr>
        <w:t xml:space="preserve"> </w:t>
      </w:r>
      <w:r>
        <w:rPr>
          <w:sz w:val="24"/>
          <w:szCs w:val="24"/>
        </w:rPr>
        <w:t xml:space="preserve">which aims </w:t>
      </w:r>
      <w:r w:rsidR="00277363" w:rsidRPr="00277363">
        <w:rPr>
          <w:sz w:val="24"/>
          <w:szCs w:val="24"/>
        </w:rPr>
        <w:t>to understand the programme’s effects on the employment, income and resilience of women, youth and their households.</w:t>
      </w:r>
      <w:r w:rsidR="00277363">
        <w:rPr>
          <w:sz w:val="24"/>
          <w:szCs w:val="24"/>
        </w:rPr>
        <w:t xml:space="preserve"> </w:t>
      </w:r>
    </w:p>
    <w:p w14:paraId="2F76F045" w14:textId="3D4EAF8F" w:rsidR="00D5314B" w:rsidRDefault="00D5314B" w:rsidP="00A04193">
      <w:pPr>
        <w:jc w:val="both"/>
        <w:rPr>
          <w:sz w:val="24"/>
          <w:szCs w:val="24"/>
        </w:rPr>
      </w:pPr>
      <w:r>
        <w:rPr>
          <w:sz w:val="24"/>
          <w:szCs w:val="24"/>
        </w:rPr>
        <w:lastRenderedPageBreak/>
        <w:t xml:space="preserve">In line with its commitments under the </w:t>
      </w:r>
      <w:r w:rsidR="00253AE3">
        <w:rPr>
          <w:sz w:val="24"/>
          <w:szCs w:val="24"/>
        </w:rPr>
        <w:t xml:space="preserve">UN’s </w:t>
      </w:r>
      <w:r w:rsidRPr="00253AE3">
        <w:rPr>
          <w:i/>
          <w:iCs/>
          <w:sz w:val="24"/>
          <w:szCs w:val="24"/>
        </w:rPr>
        <w:t>System-Wide Action Plan on Gender Equality and Women’s Empowerment</w:t>
      </w:r>
      <w:r>
        <w:rPr>
          <w:sz w:val="24"/>
          <w:szCs w:val="24"/>
        </w:rPr>
        <w:t xml:space="preserve">, UNCDF will continue to </w:t>
      </w:r>
      <w:proofErr w:type="spellStart"/>
      <w:r>
        <w:rPr>
          <w:sz w:val="24"/>
          <w:szCs w:val="24"/>
        </w:rPr>
        <w:t>prioritise</w:t>
      </w:r>
      <w:proofErr w:type="spellEnd"/>
      <w:r>
        <w:rPr>
          <w:sz w:val="24"/>
          <w:szCs w:val="24"/>
        </w:rPr>
        <w:t xml:space="preserve"> gender-responsive evaluation as well as incorporating into its evaluations other key objectives of the ‘Leaving No One Behind’ agenda that underpins the Sustainable Development Goals</w:t>
      </w:r>
      <w:r w:rsidR="0009635E">
        <w:rPr>
          <w:sz w:val="24"/>
          <w:szCs w:val="24"/>
        </w:rPr>
        <w:t>,</w:t>
      </w:r>
      <w:r>
        <w:rPr>
          <w:sz w:val="24"/>
          <w:szCs w:val="24"/>
        </w:rPr>
        <w:t xml:space="preserve"> such as inclusion of the disabled</w:t>
      </w:r>
      <w:r w:rsidR="000B3E1F">
        <w:rPr>
          <w:sz w:val="24"/>
          <w:szCs w:val="24"/>
        </w:rPr>
        <w:t xml:space="preserve"> and vulnerable groups</w:t>
      </w:r>
      <w:r>
        <w:rPr>
          <w:sz w:val="24"/>
          <w:szCs w:val="24"/>
        </w:rPr>
        <w:t>.</w:t>
      </w:r>
    </w:p>
    <w:p w14:paraId="24A3A7F5" w14:textId="6ED2C5FD" w:rsidR="00D5314B" w:rsidRDefault="00DD467A" w:rsidP="00A04193">
      <w:pPr>
        <w:jc w:val="both"/>
        <w:rPr>
          <w:sz w:val="24"/>
          <w:szCs w:val="24"/>
        </w:rPr>
      </w:pPr>
      <w:r>
        <w:rPr>
          <w:sz w:val="24"/>
          <w:szCs w:val="24"/>
        </w:rPr>
        <w:t>Finally</w:t>
      </w:r>
      <w:r w:rsidR="00253AE3">
        <w:rPr>
          <w:sz w:val="24"/>
          <w:szCs w:val="24"/>
        </w:rPr>
        <w:t>,</w:t>
      </w:r>
      <w:r>
        <w:rPr>
          <w:sz w:val="24"/>
          <w:szCs w:val="24"/>
        </w:rPr>
        <w:t xml:space="preserve"> a</w:t>
      </w:r>
      <w:r w:rsidR="00D5314B">
        <w:rPr>
          <w:sz w:val="24"/>
          <w:szCs w:val="24"/>
        </w:rPr>
        <w:t xml:space="preserve">s the United Nations </w:t>
      </w:r>
      <w:r w:rsidR="00215FD5">
        <w:rPr>
          <w:sz w:val="24"/>
          <w:szCs w:val="24"/>
        </w:rPr>
        <w:t xml:space="preserve">catalytic </w:t>
      </w:r>
      <w:r w:rsidR="00D5314B">
        <w:rPr>
          <w:sz w:val="24"/>
          <w:szCs w:val="24"/>
        </w:rPr>
        <w:t xml:space="preserve">development finance </w:t>
      </w:r>
      <w:r w:rsidR="00215FD5">
        <w:rPr>
          <w:sz w:val="24"/>
          <w:szCs w:val="24"/>
        </w:rPr>
        <w:t xml:space="preserve">entity </w:t>
      </w:r>
      <w:r w:rsidR="00D5314B">
        <w:rPr>
          <w:sz w:val="24"/>
          <w:szCs w:val="24"/>
        </w:rPr>
        <w:t xml:space="preserve">for the </w:t>
      </w:r>
      <w:r w:rsidR="00782918">
        <w:rPr>
          <w:sz w:val="24"/>
          <w:szCs w:val="24"/>
        </w:rPr>
        <w:t>l</w:t>
      </w:r>
      <w:r>
        <w:rPr>
          <w:sz w:val="24"/>
          <w:szCs w:val="24"/>
        </w:rPr>
        <w:t xml:space="preserve">east </w:t>
      </w:r>
      <w:r w:rsidR="00782918">
        <w:rPr>
          <w:sz w:val="24"/>
          <w:szCs w:val="24"/>
        </w:rPr>
        <w:t>d</w:t>
      </w:r>
      <w:r>
        <w:rPr>
          <w:sz w:val="24"/>
          <w:szCs w:val="24"/>
        </w:rPr>
        <w:t xml:space="preserve">eveloped </w:t>
      </w:r>
      <w:r w:rsidR="00782918">
        <w:rPr>
          <w:sz w:val="24"/>
          <w:szCs w:val="24"/>
        </w:rPr>
        <w:t>c</w:t>
      </w:r>
      <w:r>
        <w:rPr>
          <w:sz w:val="24"/>
          <w:szCs w:val="24"/>
        </w:rPr>
        <w:t xml:space="preserve">ountries, </w:t>
      </w:r>
      <w:r w:rsidR="00D5314B">
        <w:rPr>
          <w:sz w:val="24"/>
          <w:szCs w:val="24"/>
        </w:rPr>
        <w:t xml:space="preserve">UNCDF will continue to support evaluation capacity development initiatives </w:t>
      </w:r>
      <w:r>
        <w:rPr>
          <w:sz w:val="24"/>
          <w:szCs w:val="24"/>
        </w:rPr>
        <w:t xml:space="preserve">of partner governments, </w:t>
      </w:r>
      <w:r w:rsidR="00D5314B">
        <w:rPr>
          <w:sz w:val="24"/>
          <w:szCs w:val="24"/>
        </w:rPr>
        <w:t xml:space="preserve">inviting </w:t>
      </w:r>
      <w:r>
        <w:rPr>
          <w:sz w:val="24"/>
          <w:szCs w:val="24"/>
        </w:rPr>
        <w:t>whe</w:t>
      </w:r>
      <w:r w:rsidR="000B3E1F">
        <w:rPr>
          <w:sz w:val="24"/>
          <w:szCs w:val="24"/>
        </w:rPr>
        <w:t xml:space="preserve">never </w:t>
      </w:r>
      <w:r>
        <w:rPr>
          <w:sz w:val="24"/>
          <w:szCs w:val="24"/>
        </w:rPr>
        <w:t xml:space="preserve">possible our </w:t>
      </w:r>
      <w:r w:rsidR="00D5314B">
        <w:rPr>
          <w:sz w:val="24"/>
          <w:szCs w:val="24"/>
        </w:rPr>
        <w:t>partner</w:t>
      </w:r>
      <w:r>
        <w:rPr>
          <w:sz w:val="24"/>
          <w:szCs w:val="24"/>
        </w:rPr>
        <w:t>s</w:t>
      </w:r>
      <w:r w:rsidR="00D5314B">
        <w:rPr>
          <w:sz w:val="24"/>
          <w:szCs w:val="24"/>
        </w:rPr>
        <w:t xml:space="preserve"> </w:t>
      </w:r>
      <w:r w:rsidR="00D80F65">
        <w:rPr>
          <w:sz w:val="24"/>
          <w:szCs w:val="24"/>
        </w:rPr>
        <w:t xml:space="preserve">to </w:t>
      </w:r>
      <w:r w:rsidR="00D5314B">
        <w:rPr>
          <w:sz w:val="24"/>
          <w:szCs w:val="24"/>
        </w:rPr>
        <w:t>participate in evaluation exercises.</w:t>
      </w:r>
    </w:p>
    <w:p w14:paraId="67E2C689" w14:textId="4672BFE8" w:rsidR="00A04193" w:rsidRPr="00E16CCC" w:rsidRDefault="00D5314B" w:rsidP="00A04193">
      <w:pPr>
        <w:jc w:val="both"/>
        <w:rPr>
          <w:sz w:val="24"/>
          <w:szCs w:val="24"/>
          <w:u w:val="single"/>
        </w:rPr>
      </w:pPr>
      <w:r>
        <w:rPr>
          <w:sz w:val="24"/>
          <w:szCs w:val="24"/>
          <w:u w:val="single"/>
        </w:rPr>
        <w:t>4</w:t>
      </w:r>
      <w:r w:rsidR="00A04193" w:rsidRPr="00E16CCC">
        <w:rPr>
          <w:sz w:val="24"/>
          <w:szCs w:val="24"/>
          <w:u w:val="single"/>
        </w:rPr>
        <w:t>. Collaboration with UNDP’s Independent Evaluation Office (IEO) and other external partners</w:t>
      </w:r>
    </w:p>
    <w:p w14:paraId="01E7711B" w14:textId="27027A84" w:rsidR="00A04193" w:rsidRDefault="00A04193" w:rsidP="00A04193">
      <w:pPr>
        <w:jc w:val="both"/>
      </w:pPr>
      <w:r w:rsidRPr="00F609E7">
        <w:rPr>
          <w:sz w:val="24"/>
          <w:szCs w:val="24"/>
        </w:rPr>
        <w:t xml:space="preserve">UNCDF greatly appreciates its partnership with the Independent Evaluation Office from which it receives support and guidance on evaluation quality and approaches, as well as – where relevant - additional evaluation coverage in areas where UNDP and UNCDF are working closely together.  To this end, and as a complement to the findings emanating from its own evaluation function, UNCDF will continue to seek - wherever appropriate – inclusion of its joint work with UNDP in the IEO’s Independent Country Programme Evaluations, as well as IEO thematic evaluations that touch on areas of UNCDF </w:t>
      </w:r>
      <w:proofErr w:type="spellStart"/>
      <w:r w:rsidRPr="00F609E7">
        <w:rPr>
          <w:sz w:val="24"/>
          <w:szCs w:val="24"/>
        </w:rPr>
        <w:t>speciali</w:t>
      </w:r>
      <w:r w:rsidR="00D5314B">
        <w:rPr>
          <w:sz w:val="24"/>
          <w:szCs w:val="24"/>
        </w:rPr>
        <w:t>s</w:t>
      </w:r>
      <w:r w:rsidRPr="00F609E7">
        <w:rPr>
          <w:sz w:val="24"/>
          <w:szCs w:val="24"/>
        </w:rPr>
        <w:t>ation</w:t>
      </w:r>
      <w:proofErr w:type="spellEnd"/>
      <w:r>
        <w:t>.</w:t>
      </w:r>
    </w:p>
    <w:p w14:paraId="188F1F7D" w14:textId="0B1982F4" w:rsidR="00A04193" w:rsidRDefault="00A04193" w:rsidP="003E53DD">
      <w:pPr>
        <w:rPr>
          <w:sz w:val="24"/>
          <w:szCs w:val="24"/>
        </w:rPr>
      </w:pPr>
      <w:r w:rsidRPr="00F609E7">
        <w:rPr>
          <w:sz w:val="24"/>
          <w:szCs w:val="24"/>
        </w:rPr>
        <w:t xml:space="preserve">With a view to ensuring the transparency of UNCDF’s evaluation results, UNCDF will continue to present the key evaluation results and activities of its evaluation function in </w:t>
      </w:r>
      <w:r w:rsidR="00253AE3">
        <w:rPr>
          <w:sz w:val="24"/>
          <w:szCs w:val="24"/>
        </w:rPr>
        <w:t xml:space="preserve">UNDP’s </w:t>
      </w:r>
      <w:r w:rsidRPr="00253AE3">
        <w:rPr>
          <w:i/>
          <w:iCs/>
          <w:sz w:val="24"/>
          <w:szCs w:val="24"/>
        </w:rPr>
        <w:t>Annual Report on Evaluation</w:t>
      </w:r>
      <w:r w:rsidRPr="00F609E7">
        <w:rPr>
          <w:sz w:val="24"/>
          <w:szCs w:val="24"/>
        </w:rPr>
        <w:t xml:space="preserve"> to the Executive Board. This report will also include the results of the </w:t>
      </w:r>
      <w:r w:rsidR="00DD467A">
        <w:rPr>
          <w:sz w:val="24"/>
          <w:szCs w:val="24"/>
        </w:rPr>
        <w:t xml:space="preserve">continued </w:t>
      </w:r>
      <w:r w:rsidRPr="00F609E7">
        <w:rPr>
          <w:sz w:val="24"/>
          <w:szCs w:val="24"/>
        </w:rPr>
        <w:t>systematic external assessment by the IEO of completed UNCDF evaluation</w:t>
      </w:r>
      <w:r w:rsidR="00C029B9">
        <w:rPr>
          <w:sz w:val="24"/>
          <w:szCs w:val="24"/>
        </w:rPr>
        <w:t>s</w:t>
      </w:r>
      <w:r w:rsidRPr="00F609E7">
        <w:rPr>
          <w:sz w:val="24"/>
          <w:szCs w:val="24"/>
        </w:rPr>
        <w:t>.</w:t>
      </w:r>
      <w:r w:rsidR="00D5314B">
        <w:rPr>
          <w:rStyle w:val="FootnoteReference"/>
          <w:sz w:val="24"/>
          <w:szCs w:val="24"/>
        </w:rPr>
        <w:footnoteReference w:id="5"/>
      </w:r>
      <w:r w:rsidRPr="00F609E7">
        <w:rPr>
          <w:sz w:val="24"/>
          <w:szCs w:val="24"/>
        </w:rPr>
        <w:t xml:space="preserve"> </w:t>
      </w:r>
    </w:p>
    <w:p w14:paraId="5BC6836A" w14:textId="6839569D" w:rsidR="00A04193" w:rsidRDefault="003E53DD" w:rsidP="003E53DD">
      <w:pPr>
        <w:rPr>
          <w:sz w:val="24"/>
          <w:szCs w:val="24"/>
        </w:rPr>
      </w:pPr>
      <w:r>
        <w:rPr>
          <w:sz w:val="24"/>
          <w:szCs w:val="24"/>
        </w:rPr>
        <w:t>UNCDF will also continue to support a</w:t>
      </w:r>
      <w:r w:rsidR="00A04193" w:rsidRPr="00E16CCC">
        <w:rPr>
          <w:sz w:val="24"/>
          <w:szCs w:val="24"/>
        </w:rPr>
        <w:t>ctively the work of the United Nations Evaluation Group from which it will seek guidance and support in implementing its evaluation plan</w:t>
      </w:r>
      <w:r w:rsidR="00DD467A">
        <w:rPr>
          <w:rStyle w:val="FootnoteReference"/>
          <w:sz w:val="24"/>
          <w:szCs w:val="24"/>
        </w:rPr>
        <w:footnoteReference w:id="6"/>
      </w:r>
      <w:r w:rsidR="00A04193" w:rsidRPr="00E16CCC">
        <w:rPr>
          <w:sz w:val="24"/>
          <w:szCs w:val="24"/>
        </w:rPr>
        <w:t xml:space="preserve">. It will also continue to </w:t>
      </w:r>
      <w:r>
        <w:rPr>
          <w:sz w:val="24"/>
          <w:szCs w:val="24"/>
        </w:rPr>
        <w:t xml:space="preserve">seek </w:t>
      </w:r>
      <w:r w:rsidR="00A04193" w:rsidRPr="00E16CCC">
        <w:rPr>
          <w:sz w:val="24"/>
          <w:szCs w:val="24"/>
        </w:rPr>
        <w:t xml:space="preserve">partnerships with other </w:t>
      </w:r>
      <w:r>
        <w:rPr>
          <w:sz w:val="24"/>
          <w:szCs w:val="24"/>
        </w:rPr>
        <w:t xml:space="preserve">organisations and communities of practice working on topics </w:t>
      </w:r>
      <w:r w:rsidR="00A04193" w:rsidRPr="00E16CCC">
        <w:rPr>
          <w:sz w:val="24"/>
          <w:szCs w:val="24"/>
        </w:rPr>
        <w:t>of interest and relevance to UNCDF</w:t>
      </w:r>
      <w:r w:rsidR="00093600">
        <w:rPr>
          <w:sz w:val="24"/>
          <w:szCs w:val="24"/>
        </w:rPr>
        <w:t xml:space="preserve"> such as the OECD’s work on how to better evaluate the results of blended finance interventions</w:t>
      </w:r>
      <w:r>
        <w:rPr>
          <w:sz w:val="24"/>
          <w:szCs w:val="24"/>
        </w:rPr>
        <w:t>.</w:t>
      </w:r>
      <w:r w:rsidR="00093600">
        <w:rPr>
          <w:rStyle w:val="FootnoteReference"/>
          <w:sz w:val="24"/>
          <w:szCs w:val="24"/>
        </w:rPr>
        <w:footnoteReference w:id="7"/>
      </w:r>
      <w:r>
        <w:rPr>
          <w:sz w:val="24"/>
          <w:szCs w:val="24"/>
        </w:rPr>
        <w:t xml:space="preserve"> </w:t>
      </w:r>
      <w:r w:rsidR="00A04193" w:rsidRPr="00E16CCC">
        <w:rPr>
          <w:sz w:val="24"/>
          <w:szCs w:val="24"/>
        </w:rPr>
        <w:t>Taken together, this will help ensure that UNCDF’s methods and approaches to evaluation remain up-to-date and relevant to the task of effectively evaluating the development objectives that UNCDF has committed to in its Strategic Framework</w:t>
      </w:r>
      <w:r w:rsidR="00A04193">
        <w:rPr>
          <w:sz w:val="24"/>
          <w:szCs w:val="24"/>
        </w:rPr>
        <w:t>.</w:t>
      </w:r>
    </w:p>
    <w:p w14:paraId="6F440040" w14:textId="2522DA52" w:rsidR="00BC0407" w:rsidRDefault="00A04193" w:rsidP="000B3E1F">
      <w:pPr>
        <w:jc w:val="both"/>
        <w:rPr>
          <w:sz w:val="24"/>
          <w:szCs w:val="24"/>
        </w:rPr>
      </w:pPr>
      <w:r>
        <w:rPr>
          <w:sz w:val="24"/>
          <w:szCs w:val="24"/>
          <w:u w:val="single"/>
        </w:rPr>
        <w:t>6. Proposed evaluation plan 2018 – 2021</w:t>
      </w:r>
    </w:p>
    <w:p w14:paraId="5724E449" w14:textId="7A4B0A12" w:rsidR="000B3E1F" w:rsidRDefault="00A04193" w:rsidP="000B3E1F">
      <w:pPr>
        <w:jc w:val="both"/>
        <w:rPr>
          <w:sz w:val="24"/>
          <w:szCs w:val="24"/>
        </w:rPr>
      </w:pPr>
      <w:r>
        <w:rPr>
          <w:sz w:val="24"/>
          <w:szCs w:val="24"/>
        </w:rPr>
        <w:lastRenderedPageBreak/>
        <w:t>The table below presents the indicative evaluation plan for the period 2018 – 2021</w:t>
      </w:r>
      <w:r w:rsidR="000B3E1F">
        <w:rPr>
          <w:sz w:val="24"/>
          <w:szCs w:val="24"/>
        </w:rPr>
        <w:t xml:space="preserve">. It will be revised </w:t>
      </w:r>
      <w:r w:rsidR="00C029B9">
        <w:rPr>
          <w:sz w:val="24"/>
          <w:szCs w:val="24"/>
        </w:rPr>
        <w:t xml:space="preserve">as necessary </w:t>
      </w:r>
      <w:r w:rsidR="000B3E1F">
        <w:rPr>
          <w:sz w:val="24"/>
          <w:szCs w:val="24"/>
        </w:rPr>
        <w:t>on an annual basis with changes posted to the Evaluation Resource Center.</w:t>
      </w:r>
    </w:p>
    <w:p w14:paraId="259CF2AC" w14:textId="3D56AFD1" w:rsidR="00EB1720" w:rsidRDefault="00EB1720" w:rsidP="000B3E1F">
      <w:pPr>
        <w:jc w:val="both"/>
        <w:rPr>
          <w:sz w:val="24"/>
          <w:szCs w:val="24"/>
        </w:rPr>
        <w:sectPr w:rsidR="00EB1720">
          <w:footerReference w:type="default" r:id="rId9"/>
          <w:pgSz w:w="12240" w:h="15840"/>
          <w:pgMar w:top="1440" w:right="1440" w:bottom="1440" w:left="1440" w:header="720" w:footer="720" w:gutter="0"/>
          <w:cols w:space="720"/>
          <w:docGrid w:linePitch="360"/>
        </w:sectPr>
      </w:pPr>
    </w:p>
    <w:tbl>
      <w:tblPr>
        <w:tblW w:w="12150" w:type="dxa"/>
        <w:tblCellMar>
          <w:left w:w="70" w:type="dxa"/>
          <w:right w:w="70" w:type="dxa"/>
        </w:tblCellMar>
        <w:tblLook w:val="04A0" w:firstRow="1" w:lastRow="0" w:firstColumn="1" w:lastColumn="0" w:noHBand="0" w:noVBand="1"/>
      </w:tblPr>
      <w:tblGrid>
        <w:gridCol w:w="627"/>
        <w:gridCol w:w="3153"/>
        <w:gridCol w:w="1350"/>
        <w:gridCol w:w="1890"/>
        <w:gridCol w:w="1800"/>
        <w:gridCol w:w="1800"/>
        <w:gridCol w:w="1530"/>
      </w:tblGrid>
      <w:tr w:rsidR="00C029B9" w:rsidRPr="00CB0FAE" w14:paraId="10DFC2D5" w14:textId="77777777" w:rsidTr="00C029B9">
        <w:trPr>
          <w:trHeight w:val="82"/>
        </w:trPr>
        <w:tc>
          <w:tcPr>
            <w:tcW w:w="627" w:type="dxa"/>
            <w:tcBorders>
              <w:top w:val="nil"/>
              <w:left w:val="nil"/>
              <w:bottom w:val="nil"/>
              <w:right w:val="nil"/>
            </w:tcBorders>
            <w:shd w:val="clear" w:color="auto" w:fill="auto"/>
            <w:noWrap/>
            <w:vAlign w:val="bottom"/>
            <w:hideMark/>
          </w:tcPr>
          <w:p w14:paraId="298B0120" w14:textId="77777777" w:rsidR="00C029B9" w:rsidRPr="00CB0FAE" w:rsidRDefault="00C029B9" w:rsidP="00006E12">
            <w:pPr>
              <w:jc w:val="center"/>
              <w:rPr>
                <w:rFonts w:ascii="Times New Roman" w:eastAsia="Times New Roman" w:hAnsi="Times New Roman" w:cs="Times New Roman"/>
                <w:szCs w:val="20"/>
                <w:lang w:eastAsia="es-ES_tradnl"/>
              </w:rPr>
            </w:pPr>
          </w:p>
        </w:tc>
        <w:tc>
          <w:tcPr>
            <w:tcW w:w="3153" w:type="dxa"/>
            <w:tcBorders>
              <w:top w:val="nil"/>
              <w:left w:val="nil"/>
              <w:bottom w:val="nil"/>
              <w:right w:val="nil"/>
            </w:tcBorders>
            <w:shd w:val="clear" w:color="auto" w:fill="auto"/>
            <w:noWrap/>
            <w:vAlign w:val="bottom"/>
            <w:hideMark/>
          </w:tcPr>
          <w:p w14:paraId="54B701B7" w14:textId="77777777" w:rsidR="00C029B9" w:rsidRPr="00CB0FAE" w:rsidRDefault="00C029B9" w:rsidP="00006E12">
            <w:pPr>
              <w:jc w:val="center"/>
              <w:rPr>
                <w:rFonts w:ascii="Times New Roman" w:eastAsia="Times New Roman" w:hAnsi="Times New Roman" w:cs="Times New Roman"/>
                <w:szCs w:val="20"/>
                <w:lang w:eastAsia="es-ES_tradnl"/>
              </w:rPr>
            </w:pPr>
          </w:p>
        </w:tc>
        <w:tc>
          <w:tcPr>
            <w:tcW w:w="1350" w:type="dxa"/>
            <w:tcBorders>
              <w:top w:val="nil"/>
              <w:left w:val="nil"/>
              <w:bottom w:val="nil"/>
              <w:right w:val="nil"/>
            </w:tcBorders>
            <w:shd w:val="clear" w:color="auto" w:fill="auto"/>
            <w:noWrap/>
            <w:vAlign w:val="bottom"/>
            <w:hideMark/>
          </w:tcPr>
          <w:p w14:paraId="0BC9A233" w14:textId="77777777" w:rsidR="00C029B9" w:rsidRPr="00CB0FAE" w:rsidRDefault="00C029B9" w:rsidP="00006E12">
            <w:pPr>
              <w:rPr>
                <w:rFonts w:ascii="Times New Roman" w:eastAsia="Times New Roman" w:hAnsi="Times New Roman" w:cs="Times New Roman"/>
                <w:szCs w:val="20"/>
                <w:lang w:eastAsia="es-ES_tradnl"/>
              </w:rPr>
            </w:pPr>
          </w:p>
        </w:tc>
        <w:tc>
          <w:tcPr>
            <w:tcW w:w="1890" w:type="dxa"/>
            <w:tcBorders>
              <w:top w:val="nil"/>
              <w:left w:val="nil"/>
              <w:bottom w:val="nil"/>
              <w:right w:val="nil"/>
            </w:tcBorders>
            <w:shd w:val="clear" w:color="auto" w:fill="auto"/>
            <w:noWrap/>
            <w:vAlign w:val="bottom"/>
            <w:hideMark/>
          </w:tcPr>
          <w:p w14:paraId="51603466" w14:textId="77777777" w:rsidR="00C029B9" w:rsidRPr="00CB0FAE" w:rsidRDefault="00C029B9" w:rsidP="00006E12">
            <w:pPr>
              <w:jc w:val="center"/>
              <w:rPr>
                <w:rFonts w:ascii="Times New Roman" w:eastAsia="Times New Roman" w:hAnsi="Times New Roman" w:cs="Times New Roman"/>
                <w:szCs w:val="20"/>
                <w:lang w:eastAsia="es-ES_tradnl"/>
              </w:rPr>
            </w:pPr>
          </w:p>
        </w:tc>
        <w:tc>
          <w:tcPr>
            <w:tcW w:w="1800" w:type="dxa"/>
            <w:tcBorders>
              <w:top w:val="nil"/>
              <w:left w:val="nil"/>
              <w:bottom w:val="nil"/>
              <w:right w:val="nil"/>
            </w:tcBorders>
            <w:shd w:val="clear" w:color="auto" w:fill="auto"/>
            <w:noWrap/>
            <w:vAlign w:val="bottom"/>
            <w:hideMark/>
          </w:tcPr>
          <w:p w14:paraId="72C71DE5" w14:textId="77777777" w:rsidR="00C029B9" w:rsidRPr="00CB0FAE" w:rsidRDefault="00C029B9" w:rsidP="00006E12">
            <w:pPr>
              <w:jc w:val="center"/>
              <w:rPr>
                <w:rFonts w:ascii="Times New Roman" w:eastAsia="Times New Roman" w:hAnsi="Times New Roman" w:cs="Times New Roman"/>
                <w:szCs w:val="20"/>
                <w:lang w:eastAsia="es-ES_tradnl"/>
              </w:rPr>
            </w:pPr>
          </w:p>
        </w:tc>
        <w:tc>
          <w:tcPr>
            <w:tcW w:w="1800" w:type="dxa"/>
            <w:tcBorders>
              <w:top w:val="nil"/>
              <w:left w:val="nil"/>
              <w:bottom w:val="nil"/>
              <w:right w:val="nil"/>
            </w:tcBorders>
            <w:shd w:val="clear" w:color="auto" w:fill="auto"/>
            <w:noWrap/>
            <w:vAlign w:val="bottom"/>
            <w:hideMark/>
          </w:tcPr>
          <w:p w14:paraId="5BD2C929" w14:textId="77777777" w:rsidR="00C029B9" w:rsidRPr="00CB0FAE" w:rsidRDefault="00C029B9" w:rsidP="00006E12">
            <w:pPr>
              <w:jc w:val="center"/>
              <w:rPr>
                <w:rFonts w:ascii="Times New Roman" w:eastAsia="Times New Roman" w:hAnsi="Times New Roman" w:cs="Times New Roman"/>
                <w:szCs w:val="20"/>
                <w:lang w:eastAsia="es-ES_tradnl"/>
              </w:rPr>
            </w:pPr>
          </w:p>
        </w:tc>
        <w:tc>
          <w:tcPr>
            <w:tcW w:w="1530" w:type="dxa"/>
            <w:tcBorders>
              <w:top w:val="nil"/>
              <w:left w:val="nil"/>
              <w:bottom w:val="nil"/>
              <w:right w:val="nil"/>
            </w:tcBorders>
            <w:shd w:val="clear" w:color="auto" w:fill="auto"/>
            <w:noWrap/>
            <w:vAlign w:val="bottom"/>
            <w:hideMark/>
          </w:tcPr>
          <w:p w14:paraId="407C042F" w14:textId="77777777" w:rsidR="00C029B9" w:rsidRPr="00CB0FAE" w:rsidRDefault="00C029B9" w:rsidP="00006E12">
            <w:pPr>
              <w:jc w:val="center"/>
              <w:rPr>
                <w:rFonts w:ascii="Times New Roman" w:eastAsia="Times New Roman" w:hAnsi="Times New Roman" w:cs="Times New Roman"/>
                <w:szCs w:val="20"/>
                <w:lang w:eastAsia="es-ES_tradnl"/>
              </w:rPr>
            </w:pPr>
          </w:p>
        </w:tc>
      </w:tr>
      <w:tr w:rsidR="00C029B9" w:rsidRPr="007C4134" w14:paraId="01E25FB0" w14:textId="77777777" w:rsidTr="00C029B9">
        <w:trPr>
          <w:trHeight w:val="32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20F90"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Year</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14:paraId="485BEB44"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Title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95D7589"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Geography</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172B679"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Flagship area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8CF3885"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Type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0B803C3"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Start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E750137"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End</w:t>
            </w:r>
          </w:p>
        </w:tc>
      </w:tr>
      <w:tr w:rsidR="00C029B9" w:rsidRPr="007C4134" w14:paraId="766AB4BE" w14:textId="77777777" w:rsidTr="00C029B9">
        <w:trPr>
          <w:trHeight w:val="870"/>
        </w:trPr>
        <w:tc>
          <w:tcPr>
            <w:tcW w:w="627" w:type="dxa"/>
            <w:tcBorders>
              <w:top w:val="nil"/>
              <w:left w:val="single" w:sz="4" w:space="0" w:color="auto"/>
              <w:bottom w:val="single" w:sz="4" w:space="0" w:color="auto"/>
              <w:right w:val="single" w:sz="4" w:space="0" w:color="auto"/>
            </w:tcBorders>
            <w:shd w:val="clear" w:color="000000" w:fill="FFC000"/>
            <w:noWrap/>
            <w:vAlign w:val="center"/>
            <w:hideMark/>
          </w:tcPr>
          <w:p w14:paraId="647D8E3F"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2022</w:t>
            </w:r>
          </w:p>
        </w:tc>
        <w:tc>
          <w:tcPr>
            <w:tcW w:w="3153" w:type="dxa"/>
            <w:tcBorders>
              <w:top w:val="nil"/>
              <w:left w:val="nil"/>
              <w:bottom w:val="single" w:sz="4" w:space="0" w:color="auto"/>
              <w:right w:val="single" w:sz="4" w:space="0" w:color="auto"/>
            </w:tcBorders>
            <w:shd w:val="clear" w:color="000000" w:fill="FFC000"/>
            <w:vAlign w:val="center"/>
            <w:hideMark/>
          </w:tcPr>
          <w:p w14:paraId="3FC6E047"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‘From Innovation to Scale' - Evaluation of UNCDF's performance against its maturity model 2014 - 2022</w:t>
            </w:r>
          </w:p>
        </w:tc>
        <w:tc>
          <w:tcPr>
            <w:tcW w:w="1350" w:type="dxa"/>
            <w:tcBorders>
              <w:top w:val="nil"/>
              <w:left w:val="nil"/>
              <w:bottom w:val="single" w:sz="4" w:space="0" w:color="auto"/>
              <w:right w:val="single" w:sz="4" w:space="0" w:color="auto"/>
            </w:tcBorders>
            <w:shd w:val="clear" w:color="000000" w:fill="FFC000"/>
            <w:noWrap/>
            <w:vAlign w:val="center"/>
            <w:hideMark/>
          </w:tcPr>
          <w:p w14:paraId="4B96E905"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C000"/>
            <w:noWrap/>
            <w:vAlign w:val="center"/>
            <w:hideMark/>
          </w:tcPr>
          <w:p w14:paraId="77764DDD"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Corporate</w:t>
            </w:r>
          </w:p>
        </w:tc>
        <w:tc>
          <w:tcPr>
            <w:tcW w:w="1800" w:type="dxa"/>
            <w:tcBorders>
              <w:top w:val="nil"/>
              <w:left w:val="nil"/>
              <w:bottom w:val="single" w:sz="4" w:space="0" w:color="auto"/>
              <w:right w:val="single" w:sz="4" w:space="0" w:color="auto"/>
            </w:tcBorders>
            <w:shd w:val="clear" w:color="000000" w:fill="FFC000"/>
            <w:noWrap/>
            <w:vAlign w:val="center"/>
            <w:hideMark/>
          </w:tcPr>
          <w:p w14:paraId="10960A74"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Thematic Evaluation</w:t>
            </w:r>
          </w:p>
        </w:tc>
        <w:tc>
          <w:tcPr>
            <w:tcW w:w="1800" w:type="dxa"/>
            <w:tcBorders>
              <w:top w:val="nil"/>
              <w:left w:val="nil"/>
              <w:bottom w:val="single" w:sz="4" w:space="0" w:color="auto"/>
              <w:right w:val="single" w:sz="4" w:space="0" w:color="auto"/>
            </w:tcBorders>
            <w:shd w:val="clear" w:color="000000" w:fill="FFC000"/>
            <w:noWrap/>
            <w:vAlign w:val="center"/>
            <w:hideMark/>
          </w:tcPr>
          <w:p w14:paraId="671BBEA8"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2022</w:t>
            </w:r>
          </w:p>
        </w:tc>
        <w:tc>
          <w:tcPr>
            <w:tcW w:w="1530" w:type="dxa"/>
            <w:tcBorders>
              <w:top w:val="nil"/>
              <w:left w:val="nil"/>
              <w:bottom w:val="single" w:sz="4" w:space="0" w:color="auto"/>
              <w:right w:val="single" w:sz="4" w:space="0" w:color="auto"/>
            </w:tcBorders>
            <w:shd w:val="clear" w:color="000000" w:fill="FFC000"/>
            <w:noWrap/>
            <w:vAlign w:val="center"/>
            <w:hideMark/>
          </w:tcPr>
          <w:p w14:paraId="2E6E2DEA"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2022</w:t>
            </w:r>
          </w:p>
        </w:tc>
      </w:tr>
      <w:tr w:rsidR="00C029B9" w:rsidRPr="007C4134" w14:paraId="0FBD1E85" w14:textId="77777777" w:rsidTr="00C029B9">
        <w:trPr>
          <w:trHeight w:val="870"/>
        </w:trPr>
        <w:tc>
          <w:tcPr>
            <w:tcW w:w="627" w:type="dxa"/>
            <w:tcBorders>
              <w:top w:val="nil"/>
              <w:left w:val="single" w:sz="4" w:space="0" w:color="auto"/>
              <w:bottom w:val="single" w:sz="4" w:space="0" w:color="auto"/>
              <w:right w:val="single" w:sz="4" w:space="0" w:color="auto"/>
            </w:tcBorders>
            <w:shd w:val="clear" w:color="000000" w:fill="FFC000"/>
            <w:noWrap/>
            <w:vAlign w:val="center"/>
            <w:hideMark/>
          </w:tcPr>
          <w:p w14:paraId="76A4DD5F"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2022</w:t>
            </w:r>
          </w:p>
        </w:tc>
        <w:tc>
          <w:tcPr>
            <w:tcW w:w="3153" w:type="dxa"/>
            <w:tcBorders>
              <w:top w:val="nil"/>
              <w:left w:val="nil"/>
              <w:bottom w:val="single" w:sz="4" w:space="0" w:color="auto"/>
              <w:right w:val="single" w:sz="4" w:space="0" w:color="auto"/>
            </w:tcBorders>
            <w:shd w:val="clear" w:color="000000" w:fill="FFC000"/>
            <w:vAlign w:val="center"/>
            <w:hideMark/>
          </w:tcPr>
          <w:p w14:paraId="2DCD8B8F"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Burkina Faso Digital Finance Programme</w:t>
            </w:r>
          </w:p>
        </w:tc>
        <w:tc>
          <w:tcPr>
            <w:tcW w:w="1350" w:type="dxa"/>
            <w:tcBorders>
              <w:top w:val="nil"/>
              <w:left w:val="nil"/>
              <w:bottom w:val="single" w:sz="4" w:space="0" w:color="auto"/>
              <w:right w:val="single" w:sz="4" w:space="0" w:color="auto"/>
            </w:tcBorders>
            <w:shd w:val="clear" w:color="000000" w:fill="FFC000"/>
            <w:noWrap/>
            <w:vAlign w:val="center"/>
            <w:hideMark/>
          </w:tcPr>
          <w:p w14:paraId="416FC524"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Burkina Faso</w:t>
            </w:r>
          </w:p>
        </w:tc>
        <w:tc>
          <w:tcPr>
            <w:tcW w:w="1890" w:type="dxa"/>
            <w:tcBorders>
              <w:top w:val="nil"/>
              <w:left w:val="nil"/>
              <w:bottom w:val="single" w:sz="4" w:space="0" w:color="auto"/>
              <w:right w:val="single" w:sz="4" w:space="0" w:color="auto"/>
            </w:tcBorders>
            <w:shd w:val="clear" w:color="000000" w:fill="FFC000"/>
            <w:noWrap/>
            <w:vAlign w:val="center"/>
            <w:hideMark/>
          </w:tcPr>
          <w:p w14:paraId="77EAC7E6"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Inclusive Digital Economies (IDE)</w:t>
            </w:r>
          </w:p>
        </w:tc>
        <w:tc>
          <w:tcPr>
            <w:tcW w:w="1800" w:type="dxa"/>
            <w:tcBorders>
              <w:top w:val="nil"/>
              <w:left w:val="nil"/>
              <w:bottom w:val="single" w:sz="4" w:space="0" w:color="auto"/>
              <w:right w:val="single" w:sz="4" w:space="0" w:color="auto"/>
            </w:tcBorders>
            <w:shd w:val="clear" w:color="000000" w:fill="FFC000"/>
            <w:noWrap/>
            <w:vAlign w:val="center"/>
            <w:hideMark/>
          </w:tcPr>
          <w:p w14:paraId="0503A9E2"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Project Evaluation</w:t>
            </w:r>
          </w:p>
        </w:tc>
        <w:tc>
          <w:tcPr>
            <w:tcW w:w="1800" w:type="dxa"/>
            <w:tcBorders>
              <w:top w:val="nil"/>
              <w:left w:val="nil"/>
              <w:bottom w:val="single" w:sz="4" w:space="0" w:color="auto"/>
              <w:right w:val="single" w:sz="4" w:space="0" w:color="auto"/>
            </w:tcBorders>
            <w:shd w:val="clear" w:color="000000" w:fill="FFC000"/>
            <w:noWrap/>
            <w:vAlign w:val="center"/>
            <w:hideMark/>
          </w:tcPr>
          <w:p w14:paraId="78990928"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2022</w:t>
            </w:r>
          </w:p>
        </w:tc>
        <w:tc>
          <w:tcPr>
            <w:tcW w:w="1530" w:type="dxa"/>
            <w:tcBorders>
              <w:top w:val="nil"/>
              <w:left w:val="nil"/>
              <w:bottom w:val="single" w:sz="4" w:space="0" w:color="auto"/>
              <w:right w:val="single" w:sz="4" w:space="0" w:color="auto"/>
            </w:tcBorders>
            <w:shd w:val="clear" w:color="000000" w:fill="FFC000"/>
            <w:noWrap/>
            <w:vAlign w:val="center"/>
            <w:hideMark/>
          </w:tcPr>
          <w:p w14:paraId="22013D5E"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2022</w:t>
            </w:r>
          </w:p>
        </w:tc>
      </w:tr>
      <w:tr w:rsidR="00C029B9" w:rsidRPr="007C4134" w14:paraId="67024391" w14:textId="77777777" w:rsidTr="00C029B9">
        <w:trPr>
          <w:trHeight w:val="900"/>
        </w:trPr>
        <w:tc>
          <w:tcPr>
            <w:tcW w:w="627" w:type="dxa"/>
            <w:tcBorders>
              <w:top w:val="nil"/>
              <w:left w:val="single" w:sz="4" w:space="0" w:color="auto"/>
              <w:bottom w:val="single" w:sz="4" w:space="0" w:color="auto"/>
              <w:right w:val="single" w:sz="4" w:space="0" w:color="auto"/>
            </w:tcBorders>
            <w:shd w:val="clear" w:color="000000" w:fill="FFC000"/>
            <w:noWrap/>
            <w:vAlign w:val="center"/>
            <w:hideMark/>
          </w:tcPr>
          <w:p w14:paraId="6548A0D1"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2022</w:t>
            </w:r>
          </w:p>
        </w:tc>
        <w:tc>
          <w:tcPr>
            <w:tcW w:w="3153" w:type="dxa"/>
            <w:tcBorders>
              <w:top w:val="nil"/>
              <w:left w:val="nil"/>
              <w:bottom w:val="single" w:sz="4" w:space="0" w:color="auto"/>
              <w:right w:val="single" w:sz="4" w:space="0" w:color="auto"/>
            </w:tcBorders>
            <w:shd w:val="clear" w:color="000000" w:fill="FFC000"/>
            <w:noWrap/>
            <w:vAlign w:val="center"/>
            <w:hideMark/>
          </w:tcPr>
          <w:p w14:paraId="2E4E5D39"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Africa Policy Accelerator Programme</w:t>
            </w:r>
          </w:p>
        </w:tc>
        <w:tc>
          <w:tcPr>
            <w:tcW w:w="1350" w:type="dxa"/>
            <w:tcBorders>
              <w:top w:val="nil"/>
              <w:left w:val="nil"/>
              <w:bottom w:val="single" w:sz="4" w:space="0" w:color="auto"/>
              <w:right w:val="single" w:sz="4" w:space="0" w:color="auto"/>
            </w:tcBorders>
            <w:shd w:val="clear" w:color="000000" w:fill="FFC000"/>
            <w:noWrap/>
            <w:vAlign w:val="center"/>
            <w:hideMark/>
          </w:tcPr>
          <w:p w14:paraId="0F5B31BF"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Regional (Africa)</w:t>
            </w:r>
          </w:p>
        </w:tc>
        <w:tc>
          <w:tcPr>
            <w:tcW w:w="1890" w:type="dxa"/>
            <w:tcBorders>
              <w:top w:val="nil"/>
              <w:left w:val="nil"/>
              <w:bottom w:val="single" w:sz="4" w:space="0" w:color="auto"/>
              <w:right w:val="single" w:sz="4" w:space="0" w:color="auto"/>
            </w:tcBorders>
            <w:shd w:val="clear" w:color="000000" w:fill="FFC000"/>
            <w:noWrap/>
            <w:vAlign w:val="center"/>
            <w:hideMark/>
          </w:tcPr>
          <w:p w14:paraId="38901E4A"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C000"/>
            <w:noWrap/>
            <w:vAlign w:val="center"/>
            <w:hideMark/>
          </w:tcPr>
          <w:p w14:paraId="0BE6D5AD"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C000"/>
            <w:noWrap/>
            <w:vAlign w:val="center"/>
            <w:hideMark/>
          </w:tcPr>
          <w:p w14:paraId="31A00AB1"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2022</w:t>
            </w:r>
          </w:p>
        </w:tc>
        <w:tc>
          <w:tcPr>
            <w:tcW w:w="1530" w:type="dxa"/>
            <w:tcBorders>
              <w:top w:val="nil"/>
              <w:left w:val="nil"/>
              <w:bottom w:val="single" w:sz="4" w:space="0" w:color="auto"/>
              <w:right w:val="single" w:sz="4" w:space="0" w:color="auto"/>
            </w:tcBorders>
            <w:shd w:val="clear" w:color="000000" w:fill="FFC000"/>
            <w:noWrap/>
            <w:vAlign w:val="center"/>
            <w:hideMark/>
          </w:tcPr>
          <w:p w14:paraId="63C6EEA8"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2023</w:t>
            </w:r>
          </w:p>
        </w:tc>
      </w:tr>
      <w:tr w:rsidR="00C029B9" w:rsidRPr="007C4134" w14:paraId="4AE8AF4E"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D966"/>
            <w:noWrap/>
            <w:vAlign w:val="center"/>
            <w:hideMark/>
          </w:tcPr>
          <w:p w14:paraId="5CE6F195"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2023</w:t>
            </w:r>
          </w:p>
        </w:tc>
        <w:tc>
          <w:tcPr>
            <w:tcW w:w="3153" w:type="dxa"/>
            <w:tcBorders>
              <w:top w:val="nil"/>
              <w:left w:val="nil"/>
              <w:bottom w:val="single" w:sz="4" w:space="0" w:color="auto"/>
              <w:right w:val="single" w:sz="4" w:space="0" w:color="auto"/>
            </w:tcBorders>
            <w:shd w:val="clear" w:color="000000" w:fill="FFD966"/>
            <w:noWrap/>
            <w:vAlign w:val="center"/>
            <w:hideMark/>
          </w:tcPr>
          <w:p w14:paraId="22CECE27"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 xml:space="preserve">Local Finance Initiative </w:t>
            </w:r>
          </w:p>
        </w:tc>
        <w:tc>
          <w:tcPr>
            <w:tcW w:w="1350" w:type="dxa"/>
            <w:tcBorders>
              <w:top w:val="nil"/>
              <w:left w:val="nil"/>
              <w:bottom w:val="single" w:sz="4" w:space="0" w:color="auto"/>
              <w:right w:val="single" w:sz="4" w:space="0" w:color="auto"/>
            </w:tcBorders>
            <w:shd w:val="clear" w:color="000000" w:fill="FFD966"/>
            <w:noWrap/>
            <w:vAlign w:val="center"/>
            <w:hideMark/>
          </w:tcPr>
          <w:p w14:paraId="72C76CA8"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D966"/>
            <w:noWrap/>
            <w:vAlign w:val="center"/>
            <w:hideMark/>
          </w:tcPr>
          <w:p w14:paraId="67A0559A"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Local Transformative Finance (LTF)</w:t>
            </w:r>
          </w:p>
        </w:tc>
        <w:tc>
          <w:tcPr>
            <w:tcW w:w="1800" w:type="dxa"/>
            <w:tcBorders>
              <w:top w:val="nil"/>
              <w:left w:val="nil"/>
              <w:bottom w:val="single" w:sz="4" w:space="0" w:color="auto"/>
              <w:right w:val="single" w:sz="4" w:space="0" w:color="auto"/>
            </w:tcBorders>
            <w:shd w:val="clear" w:color="000000" w:fill="FFD966"/>
            <w:noWrap/>
            <w:vAlign w:val="center"/>
            <w:hideMark/>
          </w:tcPr>
          <w:p w14:paraId="0D00D66E"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D966"/>
            <w:noWrap/>
            <w:vAlign w:val="center"/>
            <w:hideMark/>
          </w:tcPr>
          <w:p w14:paraId="742EF97F"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2023</w:t>
            </w:r>
          </w:p>
        </w:tc>
        <w:tc>
          <w:tcPr>
            <w:tcW w:w="1530" w:type="dxa"/>
            <w:tcBorders>
              <w:top w:val="nil"/>
              <w:left w:val="nil"/>
              <w:bottom w:val="single" w:sz="4" w:space="0" w:color="auto"/>
              <w:right w:val="single" w:sz="4" w:space="0" w:color="auto"/>
            </w:tcBorders>
            <w:shd w:val="clear" w:color="000000" w:fill="FFD966"/>
            <w:noWrap/>
            <w:vAlign w:val="center"/>
            <w:hideMark/>
          </w:tcPr>
          <w:p w14:paraId="49267E8A"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2023</w:t>
            </w:r>
          </w:p>
        </w:tc>
      </w:tr>
      <w:tr w:rsidR="00C029B9" w:rsidRPr="007C4134" w14:paraId="00E1A3A3"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D966"/>
            <w:noWrap/>
            <w:vAlign w:val="center"/>
            <w:hideMark/>
          </w:tcPr>
          <w:p w14:paraId="5B9A136F"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2023</w:t>
            </w:r>
          </w:p>
        </w:tc>
        <w:tc>
          <w:tcPr>
            <w:tcW w:w="3153" w:type="dxa"/>
            <w:tcBorders>
              <w:top w:val="nil"/>
              <w:left w:val="nil"/>
              <w:bottom w:val="single" w:sz="4" w:space="0" w:color="auto"/>
              <w:right w:val="single" w:sz="4" w:space="0" w:color="auto"/>
            </w:tcBorders>
            <w:shd w:val="clear" w:color="000000" w:fill="FFD966"/>
            <w:noWrap/>
            <w:vAlign w:val="center"/>
            <w:hideMark/>
          </w:tcPr>
          <w:p w14:paraId="40E869D5"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 xml:space="preserve">Mid-Term Evaluation of UNCDF's </w:t>
            </w:r>
            <w:r w:rsidRPr="00271814">
              <w:rPr>
                <w:rFonts w:ascii="Calibri" w:eastAsia="Times New Roman" w:hAnsi="Calibri" w:cs="Times New Roman"/>
                <w:b/>
                <w:bCs/>
                <w:i/>
                <w:iCs/>
                <w:color w:val="000000"/>
                <w:lang w:eastAsia="es-ES_tradnl"/>
              </w:rPr>
              <w:t>Leaving No One Behind in the Digital Era Strategy</w:t>
            </w:r>
          </w:p>
        </w:tc>
        <w:tc>
          <w:tcPr>
            <w:tcW w:w="1350" w:type="dxa"/>
            <w:tcBorders>
              <w:top w:val="nil"/>
              <w:left w:val="nil"/>
              <w:bottom w:val="single" w:sz="4" w:space="0" w:color="auto"/>
              <w:right w:val="single" w:sz="4" w:space="0" w:color="auto"/>
            </w:tcBorders>
            <w:shd w:val="clear" w:color="000000" w:fill="FFD966"/>
            <w:noWrap/>
            <w:vAlign w:val="center"/>
            <w:hideMark/>
          </w:tcPr>
          <w:p w14:paraId="2F30E86C"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D966"/>
            <w:noWrap/>
            <w:vAlign w:val="center"/>
            <w:hideMark/>
          </w:tcPr>
          <w:p w14:paraId="02513B20"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D966"/>
            <w:noWrap/>
            <w:vAlign w:val="center"/>
            <w:hideMark/>
          </w:tcPr>
          <w:p w14:paraId="0155DD79"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Thematic</w:t>
            </w:r>
          </w:p>
        </w:tc>
        <w:tc>
          <w:tcPr>
            <w:tcW w:w="1800" w:type="dxa"/>
            <w:tcBorders>
              <w:top w:val="nil"/>
              <w:left w:val="nil"/>
              <w:bottom w:val="single" w:sz="4" w:space="0" w:color="auto"/>
              <w:right w:val="single" w:sz="4" w:space="0" w:color="auto"/>
            </w:tcBorders>
            <w:shd w:val="clear" w:color="000000" w:fill="FFD966"/>
            <w:noWrap/>
            <w:vAlign w:val="center"/>
            <w:hideMark/>
          </w:tcPr>
          <w:p w14:paraId="561E09D4"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2023</w:t>
            </w:r>
          </w:p>
        </w:tc>
        <w:tc>
          <w:tcPr>
            <w:tcW w:w="1530" w:type="dxa"/>
            <w:tcBorders>
              <w:top w:val="nil"/>
              <w:left w:val="nil"/>
              <w:bottom w:val="single" w:sz="4" w:space="0" w:color="auto"/>
              <w:right w:val="single" w:sz="4" w:space="0" w:color="auto"/>
            </w:tcBorders>
            <w:shd w:val="clear" w:color="000000" w:fill="FFD966"/>
            <w:noWrap/>
            <w:vAlign w:val="center"/>
            <w:hideMark/>
          </w:tcPr>
          <w:p w14:paraId="596BF48E"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2023</w:t>
            </w:r>
          </w:p>
        </w:tc>
      </w:tr>
      <w:tr w:rsidR="00C029B9" w:rsidRPr="007C4134" w14:paraId="45665E50" w14:textId="77777777" w:rsidTr="00C029B9">
        <w:trPr>
          <w:trHeight w:val="600"/>
        </w:trPr>
        <w:tc>
          <w:tcPr>
            <w:tcW w:w="627" w:type="dxa"/>
            <w:tcBorders>
              <w:top w:val="nil"/>
              <w:left w:val="single" w:sz="4" w:space="0" w:color="auto"/>
              <w:bottom w:val="single" w:sz="4" w:space="0" w:color="auto"/>
              <w:right w:val="single" w:sz="4" w:space="0" w:color="auto"/>
            </w:tcBorders>
            <w:shd w:val="clear" w:color="000000" w:fill="FFD966"/>
            <w:noWrap/>
            <w:vAlign w:val="center"/>
            <w:hideMark/>
          </w:tcPr>
          <w:p w14:paraId="6B4F61F4"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2023</w:t>
            </w:r>
          </w:p>
        </w:tc>
        <w:tc>
          <w:tcPr>
            <w:tcW w:w="3153" w:type="dxa"/>
            <w:tcBorders>
              <w:top w:val="nil"/>
              <w:left w:val="nil"/>
              <w:bottom w:val="single" w:sz="4" w:space="0" w:color="auto"/>
              <w:right w:val="single" w:sz="4" w:space="0" w:color="auto"/>
            </w:tcBorders>
            <w:shd w:val="clear" w:color="000000" w:fill="FFD966"/>
            <w:noWrap/>
            <w:vAlign w:val="center"/>
            <w:hideMark/>
          </w:tcPr>
          <w:p w14:paraId="5F6DC141"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Build Fund and Builder Technical Assistance Facility</w:t>
            </w:r>
          </w:p>
        </w:tc>
        <w:tc>
          <w:tcPr>
            <w:tcW w:w="1350" w:type="dxa"/>
            <w:tcBorders>
              <w:top w:val="nil"/>
              <w:left w:val="nil"/>
              <w:bottom w:val="single" w:sz="4" w:space="0" w:color="auto"/>
              <w:right w:val="single" w:sz="4" w:space="0" w:color="auto"/>
            </w:tcBorders>
            <w:shd w:val="clear" w:color="000000" w:fill="FFD966"/>
            <w:noWrap/>
            <w:vAlign w:val="center"/>
            <w:hideMark/>
          </w:tcPr>
          <w:p w14:paraId="109BCA7C"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D966"/>
            <w:noWrap/>
            <w:vAlign w:val="center"/>
            <w:hideMark/>
          </w:tcPr>
          <w:p w14:paraId="43B3B1CA"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LDC-</w:t>
            </w:r>
            <w:r>
              <w:rPr>
                <w:rFonts w:ascii="Calibri" w:eastAsia="Times New Roman" w:hAnsi="Calibri" w:cs="Times New Roman"/>
                <w:color w:val="000000"/>
                <w:lang w:eastAsia="es-ES_tradnl"/>
              </w:rPr>
              <w:t xml:space="preserve"> </w:t>
            </w:r>
            <w:r w:rsidRPr="007C4134">
              <w:rPr>
                <w:rFonts w:ascii="Calibri" w:eastAsia="Times New Roman" w:hAnsi="Calibri" w:cs="Times New Roman"/>
                <w:color w:val="000000"/>
                <w:lang w:eastAsia="es-ES_tradnl"/>
              </w:rPr>
              <w:t>Investment</w:t>
            </w:r>
          </w:p>
          <w:p w14:paraId="5FB87BCE"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Platform (LDCIP)</w:t>
            </w:r>
          </w:p>
        </w:tc>
        <w:tc>
          <w:tcPr>
            <w:tcW w:w="1800" w:type="dxa"/>
            <w:tcBorders>
              <w:top w:val="nil"/>
              <w:left w:val="nil"/>
              <w:bottom w:val="single" w:sz="4" w:space="0" w:color="auto"/>
              <w:right w:val="single" w:sz="4" w:space="0" w:color="auto"/>
            </w:tcBorders>
            <w:shd w:val="clear" w:color="000000" w:fill="FFD966"/>
            <w:noWrap/>
            <w:vAlign w:val="center"/>
            <w:hideMark/>
          </w:tcPr>
          <w:p w14:paraId="43727D7B"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Mid-Term Programme Evaluation</w:t>
            </w:r>
          </w:p>
        </w:tc>
        <w:tc>
          <w:tcPr>
            <w:tcW w:w="1800" w:type="dxa"/>
            <w:tcBorders>
              <w:top w:val="nil"/>
              <w:left w:val="nil"/>
              <w:bottom w:val="single" w:sz="4" w:space="0" w:color="auto"/>
              <w:right w:val="single" w:sz="4" w:space="0" w:color="auto"/>
            </w:tcBorders>
            <w:shd w:val="clear" w:color="000000" w:fill="FFD966"/>
            <w:noWrap/>
            <w:vAlign w:val="center"/>
            <w:hideMark/>
          </w:tcPr>
          <w:p w14:paraId="1A44A3E3"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2023</w:t>
            </w:r>
          </w:p>
        </w:tc>
        <w:tc>
          <w:tcPr>
            <w:tcW w:w="1530" w:type="dxa"/>
            <w:tcBorders>
              <w:top w:val="nil"/>
              <w:left w:val="nil"/>
              <w:bottom w:val="single" w:sz="4" w:space="0" w:color="auto"/>
              <w:right w:val="single" w:sz="4" w:space="0" w:color="auto"/>
            </w:tcBorders>
            <w:shd w:val="clear" w:color="000000" w:fill="FFD966"/>
            <w:noWrap/>
            <w:vAlign w:val="center"/>
            <w:hideMark/>
          </w:tcPr>
          <w:p w14:paraId="56500AE3"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2024</w:t>
            </w:r>
          </w:p>
        </w:tc>
      </w:tr>
      <w:tr w:rsidR="00C029B9" w:rsidRPr="007C4134" w14:paraId="33DE26CD"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D966"/>
            <w:noWrap/>
            <w:vAlign w:val="center"/>
            <w:hideMark/>
          </w:tcPr>
          <w:p w14:paraId="033D09F1"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2023</w:t>
            </w:r>
          </w:p>
        </w:tc>
        <w:tc>
          <w:tcPr>
            <w:tcW w:w="3153" w:type="dxa"/>
            <w:tcBorders>
              <w:top w:val="nil"/>
              <w:left w:val="nil"/>
              <w:bottom w:val="single" w:sz="4" w:space="0" w:color="auto"/>
              <w:right w:val="single" w:sz="4" w:space="0" w:color="auto"/>
            </w:tcBorders>
            <w:shd w:val="clear" w:color="000000" w:fill="FFD966"/>
            <w:noWrap/>
            <w:vAlign w:val="center"/>
            <w:hideMark/>
          </w:tcPr>
          <w:p w14:paraId="57B32516"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 xml:space="preserve">Women’s Empowerment for Inclusive Growth Program </w:t>
            </w:r>
            <w:r>
              <w:rPr>
                <w:rFonts w:ascii="Calibri" w:eastAsia="Times New Roman" w:hAnsi="Calibri" w:cs="Times New Roman"/>
                <w:b/>
                <w:bCs/>
                <w:color w:val="000000"/>
                <w:lang w:eastAsia="es-ES_tradnl"/>
              </w:rPr>
              <w:t>(WING)</w:t>
            </w:r>
          </w:p>
        </w:tc>
        <w:tc>
          <w:tcPr>
            <w:tcW w:w="1350" w:type="dxa"/>
            <w:tcBorders>
              <w:top w:val="nil"/>
              <w:left w:val="nil"/>
              <w:bottom w:val="single" w:sz="4" w:space="0" w:color="auto"/>
              <w:right w:val="single" w:sz="4" w:space="0" w:color="auto"/>
            </w:tcBorders>
            <w:shd w:val="clear" w:color="000000" w:fill="FFD966"/>
            <w:noWrap/>
            <w:vAlign w:val="center"/>
            <w:hideMark/>
          </w:tcPr>
          <w:p w14:paraId="0EA2A23A"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Bangladesh</w:t>
            </w:r>
          </w:p>
        </w:tc>
        <w:tc>
          <w:tcPr>
            <w:tcW w:w="1890" w:type="dxa"/>
            <w:tcBorders>
              <w:top w:val="nil"/>
              <w:left w:val="nil"/>
              <w:bottom w:val="single" w:sz="4" w:space="0" w:color="auto"/>
              <w:right w:val="single" w:sz="4" w:space="0" w:color="auto"/>
            </w:tcBorders>
            <w:shd w:val="clear" w:color="000000" w:fill="FFD966"/>
            <w:noWrap/>
            <w:vAlign w:val="center"/>
            <w:hideMark/>
          </w:tcPr>
          <w:p w14:paraId="10363E66"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LTF</w:t>
            </w:r>
          </w:p>
        </w:tc>
        <w:tc>
          <w:tcPr>
            <w:tcW w:w="1800" w:type="dxa"/>
            <w:tcBorders>
              <w:top w:val="nil"/>
              <w:left w:val="nil"/>
              <w:bottom w:val="single" w:sz="4" w:space="0" w:color="auto"/>
              <w:right w:val="single" w:sz="4" w:space="0" w:color="auto"/>
            </w:tcBorders>
            <w:shd w:val="clear" w:color="000000" w:fill="FFD966"/>
            <w:noWrap/>
            <w:vAlign w:val="center"/>
            <w:hideMark/>
          </w:tcPr>
          <w:p w14:paraId="0C0492CB"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Project Evaluation</w:t>
            </w:r>
          </w:p>
        </w:tc>
        <w:tc>
          <w:tcPr>
            <w:tcW w:w="1800" w:type="dxa"/>
            <w:tcBorders>
              <w:top w:val="nil"/>
              <w:left w:val="nil"/>
              <w:bottom w:val="single" w:sz="4" w:space="0" w:color="auto"/>
              <w:right w:val="single" w:sz="4" w:space="0" w:color="auto"/>
            </w:tcBorders>
            <w:shd w:val="clear" w:color="000000" w:fill="FFD966"/>
            <w:noWrap/>
            <w:vAlign w:val="center"/>
            <w:hideMark/>
          </w:tcPr>
          <w:p w14:paraId="26803104"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2023</w:t>
            </w:r>
          </w:p>
        </w:tc>
        <w:tc>
          <w:tcPr>
            <w:tcW w:w="1530" w:type="dxa"/>
            <w:tcBorders>
              <w:top w:val="nil"/>
              <w:left w:val="nil"/>
              <w:bottom w:val="single" w:sz="4" w:space="0" w:color="auto"/>
              <w:right w:val="single" w:sz="4" w:space="0" w:color="auto"/>
            </w:tcBorders>
            <w:shd w:val="clear" w:color="000000" w:fill="FFD966"/>
            <w:noWrap/>
            <w:vAlign w:val="center"/>
            <w:hideMark/>
          </w:tcPr>
          <w:p w14:paraId="1EE533EE"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2024</w:t>
            </w:r>
          </w:p>
        </w:tc>
      </w:tr>
      <w:tr w:rsidR="00C029B9" w:rsidRPr="007C4134" w14:paraId="57DED626"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D966"/>
            <w:noWrap/>
            <w:vAlign w:val="center"/>
            <w:hideMark/>
          </w:tcPr>
          <w:p w14:paraId="6C83639B"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2023</w:t>
            </w:r>
          </w:p>
        </w:tc>
        <w:tc>
          <w:tcPr>
            <w:tcW w:w="3153" w:type="dxa"/>
            <w:tcBorders>
              <w:top w:val="nil"/>
              <w:left w:val="nil"/>
              <w:bottom w:val="single" w:sz="4" w:space="0" w:color="auto"/>
              <w:right w:val="single" w:sz="4" w:space="0" w:color="auto"/>
            </w:tcBorders>
            <w:shd w:val="clear" w:color="000000" w:fill="FFD966"/>
            <w:noWrap/>
            <w:vAlign w:val="center"/>
            <w:hideMark/>
          </w:tcPr>
          <w:p w14:paraId="0791290C"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Combined evaluation of the UNCDF Remittances &amp; Migration Programmes</w:t>
            </w:r>
          </w:p>
        </w:tc>
        <w:tc>
          <w:tcPr>
            <w:tcW w:w="1350" w:type="dxa"/>
            <w:tcBorders>
              <w:top w:val="nil"/>
              <w:left w:val="nil"/>
              <w:bottom w:val="single" w:sz="4" w:space="0" w:color="auto"/>
              <w:right w:val="single" w:sz="4" w:space="0" w:color="auto"/>
            </w:tcBorders>
            <w:shd w:val="clear" w:color="000000" w:fill="FFD966"/>
            <w:noWrap/>
            <w:vAlign w:val="center"/>
            <w:hideMark/>
          </w:tcPr>
          <w:p w14:paraId="66E06F06"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D966"/>
            <w:noWrap/>
            <w:vAlign w:val="center"/>
            <w:hideMark/>
          </w:tcPr>
          <w:p w14:paraId="4B1025D3"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D966"/>
            <w:noWrap/>
            <w:vAlign w:val="center"/>
            <w:hideMark/>
          </w:tcPr>
          <w:p w14:paraId="4587F807"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Mid-Term Programme Evaluation</w:t>
            </w:r>
          </w:p>
        </w:tc>
        <w:tc>
          <w:tcPr>
            <w:tcW w:w="1800" w:type="dxa"/>
            <w:tcBorders>
              <w:top w:val="nil"/>
              <w:left w:val="nil"/>
              <w:bottom w:val="single" w:sz="4" w:space="0" w:color="auto"/>
              <w:right w:val="single" w:sz="4" w:space="0" w:color="auto"/>
            </w:tcBorders>
            <w:shd w:val="clear" w:color="000000" w:fill="FFD966"/>
            <w:noWrap/>
            <w:vAlign w:val="center"/>
            <w:hideMark/>
          </w:tcPr>
          <w:p w14:paraId="0C42FF5C"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2023</w:t>
            </w:r>
          </w:p>
        </w:tc>
        <w:tc>
          <w:tcPr>
            <w:tcW w:w="1530" w:type="dxa"/>
            <w:tcBorders>
              <w:top w:val="nil"/>
              <w:left w:val="nil"/>
              <w:bottom w:val="single" w:sz="4" w:space="0" w:color="auto"/>
              <w:right w:val="single" w:sz="4" w:space="0" w:color="auto"/>
            </w:tcBorders>
            <w:shd w:val="clear" w:color="000000" w:fill="FFD966"/>
            <w:noWrap/>
            <w:vAlign w:val="center"/>
            <w:hideMark/>
          </w:tcPr>
          <w:p w14:paraId="014B2599"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2024</w:t>
            </w:r>
          </w:p>
        </w:tc>
      </w:tr>
      <w:tr w:rsidR="00C029B9" w:rsidRPr="007C4134" w14:paraId="03EE9CC7"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E699"/>
            <w:noWrap/>
            <w:vAlign w:val="center"/>
            <w:hideMark/>
          </w:tcPr>
          <w:p w14:paraId="1ACA65F8"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lastRenderedPageBreak/>
              <w:t>2024</w:t>
            </w:r>
          </w:p>
        </w:tc>
        <w:tc>
          <w:tcPr>
            <w:tcW w:w="3153" w:type="dxa"/>
            <w:tcBorders>
              <w:top w:val="nil"/>
              <w:left w:val="nil"/>
              <w:bottom w:val="single" w:sz="4" w:space="0" w:color="auto"/>
              <w:right w:val="single" w:sz="4" w:space="0" w:color="auto"/>
            </w:tcBorders>
            <w:shd w:val="clear" w:color="000000" w:fill="FFE699"/>
            <w:noWrap/>
            <w:vAlign w:val="center"/>
            <w:hideMark/>
          </w:tcPr>
          <w:p w14:paraId="61B69FBA"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 xml:space="preserve">Digital Financial Services For Resilience </w:t>
            </w:r>
          </w:p>
        </w:tc>
        <w:tc>
          <w:tcPr>
            <w:tcW w:w="1350" w:type="dxa"/>
            <w:tcBorders>
              <w:top w:val="nil"/>
              <w:left w:val="nil"/>
              <w:bottom w:val="single" w:sz="4" w:space="0" w:color="auto"/>
              <w:right w:val="single" w:sz="4" w:space="0" w:color="auto"/>
            </w:tcBorders>
            <w:shd w:val="clear" w:color="000000" w:fill="FFE699"/>
            <w:noWrap/>
            <w:vAlign w:val="center"/>
            <w:hideMark/>
          </w:tcPr>
          <w:p w14:paraId="361A8B19"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E699"/>
            <w:noWrap/>
            <w:vAlign w:val="center"/>
            <w:hideMark/>
          </w:tcPr>
          <w:p w14:paraId="33570078"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E699"/>
            <w:noWrap/>
            <w:vAlign w:val="center"/>
            <w:hideMark/>
          </w:tcPr>
          <w:p w14:paraId="2BB9D2E3"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E699"/>
            <w:noWrap/>
            <w:vAlign w:val="center"/>
            <w:hideMark/>
          </w:tcPr>
          <w:p w14:paraId="12DC1965"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2024</w:t>
            </w:r>
          </w:p>
        </w:tc>
        <w:tc>
          <w:tcPr>
            <w:tcW w:w="1530" w:type="dxa"/>
            <w:tcBorders>
              <w:top w:val="nil"/>
              <w:left w:val="nil"/>
              <w:bottom w:val="single" w:sz="4" w:space="0" w:color="auto"/>
              <w:right w:val="single" w:sz="4" w:space="0" w:color="auto"/>
            </w:tcBorders>
            <w:shd w:val="clear" w:color="000000" w:fill="FFE699"/>
            <w:noWrap/>
            <w:vAlign w:val="center"/>
            <w:hideMark/>
          </w:tcPr>
          <w:p w14:paraId="20C703BF"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2024</w:t>
            </w:r>
          </w:p>
        </w:tc>
      </w:tr>
      <w:tr w:rsidR="00C029B9" w:rsidRPr="007C4134" w14:paraId="6485FA0B" w14:textId="77777777" w:rsidTr="00C029B9">
        <w:trPr>
          <w:trHeight w:val="900"/>
        </w:trPr>
        <w:tc>
          <w:tcPr>
            <w:tcW w:w="627" w:type="dxa"/>
            <w:tcBorders>
              <w:top w:val="nil"/>
              <w:left w:val="single" w:sz="4" w:space="0" w:color="auto"/>
              <w:bottom w:val="single" w:sz="4" w:space="0" w:color="auto"/>
              <w:right w:val="single" w:sz="4" w:space="0" w:color="auto"/>
            </w:tcBorders>
            <w:shd w:val="clear" w:color="000000" w:fill="FFE699"/>
            <w:noWrap/>
            <w:vAlign w:val="center"/>
            <w:hideMark/>
          </w:tcPr>
          <w:p w14:paraId="74012DF2"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2024</w:t>
            </w:r>
          </w:p>
        </w:tc>
        <w:tc>
          <w:tcPr>
            <w:tcW w:w="3153" w:type="dxa"/>
            <w:tcBorders>
              <w:top w:val="nil"/>
              <w:left w:val="nil"/>
              <w:bottom w:val="single" w:sz="4" w:space="0" w:color="auto"/>
              <w:right w:val="single" w:sz="4" w:space="0" w:color="auto"/>
            </w:tcBorders>
            <w:shd w:val="clear" w:color="000000" w:fill="FFE699"/>
            <w:noWrap/>
            <w:vAlign w:val="center"/>
            <w:hideMark/>
          </w:tcPr>
          <w:p w14:paraId="6C4C8AD5"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Portfolio Review of UNCDF-supported investments</w:t>
            </w:r>
          </w:p>
        </w:tc>
        <w:tc>
          <w:tcPr>
            <w:tcW w:w="1350" w:type="dxa"/>
            <w:tcBorders>
              <w:top w:val="nil"/>
              <w:left w:val="nil"/>
              <w:bottom w:val="single" w:sz="4" w:space="0" w:color="auto"/>
              <w:right w:val="single" w:sz="4" w:space="0" w:color="auto"/>
            </w:tcBorders>
            <w:shd w:val="clear" w:color="000000" w:fill="FFE699"/>
            <w:noWrap/>
            <w:vAlign w:val="center"/>
            <w:hideMark/>
          </w:tcPr>
          <w:p w14:paraId="4F76F933"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E699"/>
            <w:noWrap/>
            <w:vAlign w:val="center"/>
            <w:hideMark/>
          </w:tcPr>
          <w:p w14:paraId="2243020E"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Corporate</w:t>
            </w:r>
          </w:p>
        </w:tc>
        <w:tc>
          <w:tcPr>
            <w:tcW w:w="1800" w:type="dxa"/>
            <w:tcBorders>
              <w:top w:val="nil"/>
              <w:left w:val="nil"/>
              <w:bottom w:val="single" w:sz="4" w:space="0" w:color="auto"/>
              <w:right w:val="single" w:sz="4" w:space="0" w:color="auto"/>
            </w:tcBorders>
            <w:shd w:val="clear" w:color="000000" w:fill="FFE699"/>
            <w:noWrap/>
            <w:vAlign w:val="center"/>
            <w:hideMark/>
          </w:tcPr>
          <w:p w14:paraId="7FB29578"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Thematic Evaluation</w:t>
            </w:r>
          </w:p>
        </w:tc>
        <w:tc>
          <w:tcPr>
            <w:tcW w:w="1800" w:type="dxa"/>
            <w:tcBorders>
              <w:top w:val="nil"/>
              <w:left w:val="nil"/>
              <w:bottom w:val="single" w:sz="4" w:space="0" w:color="auto"/>
              <w:right w:val="single" w:sz="4" w:space="0" w:color="auto"/>
            </w:tcBorders>
            <w:shd w:val="clear" w:color="000000" w:fill="FFE699"/>
            <w:noWrap/>
            <w:vAlign w:val="center"/>
            <w:hideMark/>
          </w:tcPr>
          <w:p w14:paraId="011D1A41"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2024</w:t>
            </w:r>
          </w:p>
        </w:tc>
        <w:tc>
          <w:tcPr>
            <w:tcW w:w="1530" w:type="dxa"/>
            <w:tcBorders>
              <w:top w:val="nil"/>
              <w:left w:val="nil"/>
              <w:bottom w:val="single" w:sz="4" w:space="0" w:color="auto"/>
              <w:right w:val="single" w:sz="4" w:space="0" w:color="auto"/>
            </w:tcBorders>
            <w:shd w:val="clear" w:color="000000" w:fill="FFE699"/>
            <w:noWrap/>
            <w:vAlign w:val="center"/>
            <w:hideMark/>
          </w:tcPr>
          <w:p w14:paraId="5484D441"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2024</w:t>
            </w:r>
          </w:p>
        </w:tc>
      </w:tr>
      <w:tr w:rsidR="00C029B9" w:rsidRPr="007C4134" w14:paraId="49909747"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E699"/>
            <w:noWrap/>
            <w:vAlign w:val="center"/>
            <w:hideMark/>
          </w:tcPr>
          <w:p w14:paraId="02D6671E"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2024</w:t>
            </w:r>
          </w:p>
        </w:tc>
        <w:tc>
          <w:tcPr>
            <w:tcW w:w="3153" w:type="dxa"/>
            <w:tcBorders>
              <w:top w:val="nil"/>
              <w:left w:val="nil"/>
              <w:bottom w:val="single" w:sz="4" w:space="0" w:color="auto"/>
              <w:right w:val="single" w:sz="4" w:space="0" w:color="auto"/>
            </w:tcBorders>
            <w:shd w:val="clear" w:color="000000" w:fill="FFE699"/>
            <w:noWrap/>
            <w:vAlign w:val="center"/>
            <w:hideMark/>
          </w:tcPr>
          <w:p w14:paraId="763EABAF"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Leaving No One Behind in the Digital Era -Uganda (LNOBU)</w:t>
            </w:r>
          </w:p>
        </w:tc>
        <w:tc>
          <w:tcPr>
            <w:tcW w:w="1350" w:type="dxa"/>
            <w:tcBorders>
              <w:top w:val="nil"/>
              <w:left w:val="nil"/>
              <w:bottom w:val="single" w:sz="4" w:space="0" w:color="auto"/>
              <w:right w:val="single" w:sz="4" w:space="0" w:color="auto"/>
            </w:tcBorders>
            <w:shd w:val="clear" w:color="000000" w:fill="FFE699"/>
            <w:noWrap/>
            <w:vAlign w:val="center"/>
            <w:hideMark/>
          </w:tcPr>
          <w:p w14:paraId="5D4D44D9"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Uganda</w:t>
            </w:r>
          </w:p>
        </w:tc>
        <w:tc>
          <w:tcPr>
            <w:tcW w:w="1890" w:type="dxa"/>
            <w:tcBorders>
              <w:top w:val="nil"/>
              <w:left w:val="nil"/>
              <w:bottom w:val="single" w:sz="4" w:space="0" w:color="auto"/>
              <w:right w:val="single" w:sz="4" w:space="0" w:color="auto"/>
            </w:tcBorders>
            <w:shd w:val="clear" w:color="000000" w:fill="FFE699"/>
            <w:noWrap/>
            <w:vAlign w:val="center"/>
            <w:hideMark/>
          </w:tcPr>
          <w:p w14:paraId="7857155E"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E699"/>
            <w:noWrap/>
            <w:vAlign w:val="center"/>
            <w:hideMark/>
          </w:tcPr>
          <w:p w14:paraId="3FDB9D80"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Mid-Term Programme Evaluation</w:t>
            </w:r>
          </w:p>
        </w:tc>
        <w:tc>
          <w:tcPr>
            <w:tcW w:w="1800" w:type="dxa"/>
            <w:tcBorders>
              <w:top w:val="nil"/>
              <w:left w:val="nil"/>
              <w:bottom w:val="single" w:sz="4" w:space="0" w:color="auto"/>
              <w:right w:val="single" w:sz="4" w:space="0" w:color="auto"/>
            </w:tcBorders>
            <w:shd w:val="clear" w:color="000000" w:fill="FFE699"/>
            <w:noWrap/>
            <w:vAlign w:val="center"/>
            <w:hideMark/>
          </w:tcPr>
          <w:p w14:paraId="67361622"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2024</w:t>
            </w:r>
          </w:p>
        </w:tc>
        <w:tc>
          <w:tcPr>
            <w:tcW w:w="1530" w:type="dxa"/>
            <w:tcBorders>
              <w:top w:val="nil"/>
              <w:left w:val="nil"/>
              <w:bottom w:val="single" w:sz="4" w:space="0" w:color="auto"/>
              <w:right w:val="single" w:sz="4" w:space="0" w:color="auto"/>
            </w:tcBorders>
            <w:shd w:val="clear" w:color="000000" w:fill="FFE699"/>
            <w:noWrap/>
            <w:vAlign w:val="center"/>
            <w:hideMark/>
          </w:tcPr>
          <w:p w14:paraId="20FC0001"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2025</w:t>
            </w:r>
          </w:p>
        </w:tc>
      </w:tr>
      <w:tr w:rsidR="00C029B9" w:rsidRPr="007C4134" w14:paraId="4A65E360"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E699"/>
            <w:noWrap/>
            <w:vAlign w:val="center"/>
            <w:hideMark/>
          </w:tcPr>
          <w:p w14:paraId="4B084F57"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2024</w:t>
            </w:r>
          </w:p>
        </w:tc>
        <w:tc>
          <w:tcPr>
            <w:tcW w:w="3153" w:type="dxa"/>
            <w:tcBorders>
              <w:top w:val="nil"/>
              <w:left w:val="nil"/>
              <w:bottom w:val="single" w:sz="4" w:space="0" w:color="auto"/>
              <w:right w:val="single" w:sz="4" w:space="0" w:color="auto"/>
            </w:tcBorders>
            <w:shd w:val="clear" w:color="000000" w:fill="FFE699"/>
            <w:noWrap/>
            <w:vAlign w:val="center"/>
            <w:hideMark/>
          </w:tcPr>
          <w:p w14:paraId="18D8A090"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Evaluation of UNCDF's Strategic Framework 2022 - 2025 &amp; Gender Policy</w:t>
            </w:r>
          </w:p>
        </w:tc>
        <w:tc>
          <w:tcPr>
            <w:tcW w:w="1350" w:type="dxa"/>
            <w:tcBorders>
              <w:top w:val="nil"/>
              <w:left w:val="nil"/>
              <w:bottom w:val="single" w:sz="4" w:space="0" w:color="auto"/>
              <w:right w:val="single" w:sz="4" w:space="0" w:color="auto"/>
            </w:tcBorders>
            <w:shd w:val="clear" w:color="000000" w:fill="FFE699"/>
            <w:noWrap/>
            <w:vAlign w:val="center"/>
            <w:hideMark/>
          </w:tcPr>
          <w:p w14:paraId="499473A0"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E699"/>
            <w:noWrap/>
            <w:vAlign w:val="center"/>
            <w:hideMark/>
          </w:tcPr>
          <w:p w14:paraId="5F24AD9F"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Corporate</w:t>
            </w:r>
          </w:p>
        </w:tc>
        <w:tc>
          <w:tcPr>
            <w:tcW w:w="1800" w:type="dxa"/>
            <w:tcBorders>
              <w:top w:val="nil"/>
              <w:left w:val="nil"/>
              <w:bottom w:val="single" w:sz="4" w:space="0" w:color="auto"/>
              <w:right w:val="single" w:sz="4" w:space="0" w:color="auto"/>
            </w:tcBorders>
            <w:shd w:val="clear" w:color="000000" w:fill="FFE699"/>
            <w:noWrap/>
            <w:vAlign w:val="center"/>
            <w:hideMark/>
          </w:tcPr>
          <w:p w14:paraId="1D258734"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Thematic Evaluation</w:t>
            </w:r>
          </w:p>
        </w:tc>
        <w:tc>
          <w:tcPr>
            <w:tcW w:w="1800" w:type="dxa"/>
            <w:tcBorders>
              <w:top w:val="nil"/>
              <w:left w:val="nil"/>
              <w:bottom w:val="single" w:sz="4" w:space="0" w:color="auto"/>
              <w:right w:val="single" w:sz="4" w:space="0" w:color="auto"/>
            </w:tcBorders>
            <w:shd w:val="clear" w:color="000000" w:fill="FFE699"/>
            <w:noWrap/>
            <w:vAlign w:val="center"/>
            <w:hideMark/>
          </w:tcPr>
          <w:p w14:paraId="43C09295"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2024</w:t>
            </w:r>
          </w:p>
        </w:tc>
        <w:tc>
          <w:tcPr>
            <w:tcW w:w="1530" w:type="dxa"/>
            <w:tcBorders>
              <w:top w:val="nil"/>
              <w:left w:val="nil"/>
              <w:bottom w:val="single" w:sz="4" w:space="0" w:color="auto"/>
              <w:right w:val="single" w:sz="4" w:space="0" w:color="auto"/>
            </w:tcBorders>
            <w:shd w:val="clear" w:color="000000" w:fill="FFE699"/>
            <w:noWrap/>
            <w:vAlign w:val="center"/>
            <w:hideMark/>
          </w:tcPr>
          <w:p w14:paraId="4DC43CEA"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2025</w:t>
            </w:r>
          </w:p>
        </w:tc>
      </w:tr>
      <w:tr w:rsidR="00C029B9" w:rsidRPr="007C4134" w14:paraId="0FBEDCDF"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F2CC"/>
            <w:noWrap/>
            <w:vAlign w:val="center"/>
            <w:hideMark/>
          </w:tcPr>
          <w:p w14:paraId="41D0C0E7"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2025</w:t>
            </w:r>
          </w:p>
        </w:tc>
        <w:tc>
          <w:tcPr>
            <w:tcW w:w="3153" w:type="dxa"/>
            <w:tcBorders>
              <w:top w:val="nil"/>
              <w:left w:val="nil"/>
              <w:bottom w:val="single" w:sz="4" w:space="0" w:color="auto"/>
              <w:right w:val="single" w:sz="4" w:space="0" w:color="auto"/>
            </w:tcBorders>
            <w:shd w:val="clear" w:color="000000" w:fill="FFF2CC"/>
            <w:noWrap/>
            <w:vAlign w:val="center"/>
            <w:hideMark/>
          </w:tcPr>
          <w:p w14:paraId="00852E65"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Pacific Insurance and Climate Adaptation Programme</w:t>
            </w:r>
          </w:p>
        </w:tc>
        <w:tc>
          <w:tcPr>
            <w:tcW w:w="1350" w:type="dxa"/>
            <w:tcBorders>
              <w:top w:val="nil"/>
              <w:left w:val="nil"/>
              <w:bottom w:val="single" w:sz="4" w:space="0" w:color="auto"/>
              <w:right w:val="single" w:sz="4" w:space="0" w:color="auto"/>
            </w:tcBorders>
            <w:shd w:val="clear" w:color="000000" w:fill="FFF2CC"/>
            <w:noWrap/>
            <w:vAlign w:val="center"/>
            <w:hideMark/>
          </w:tcPr>
          <w:p w14:paraId="10518F51"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Pacific</w:t>
            </w:r>
          </w:p>
        </w:tc>
        <w:tc>
          <w:tcPr>
            <w:tcW w:w="1890" w:type="dxa"/>
            <w:tcBorders>
              <w:top w:val="nil"/>
              <w:left w:val="nil"/>
              <w:bottom w:val="single" w:sz="4" w:space="0" w:color="auto"/>
              <w:right w:val="single" w:sz="4" w:space="0" w:color="auto"/>
            </w:tcBorders>
            <w:shd w:val="clear" w:color="000000" w:fill="FFF2CC"/>
            <w:noWrap/>
            <w:vAlign w:val="center"/>
            <w:hideMark/>
          </w:tcPr>
          <w:p w14:paraId="23F3D9DD"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F2CC"/>
            <w:noWrap/>
            <w:vAlign w:val="center"/>
            <w:hideMark/>
          </w:tcPr>
          <w:p w14:paraId="5CF9C48B"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F2CC"/>
            <w:noWrap/>
            <w:vAlign w:val="center"/>
            <w:hideMark/>
          </w:tcPr>
          <w:p w14:paraId="74F5F51A"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2025</w:t>
            </w:r>
          </w:p>
        </w:tc>
        <w:tc>
          <w:tcPr>
            <w:tcW w:w="1530" w:type="dxa"/>
            <w:tcBorders>
              <w:top w:val="nil"/>
              <w:left w:val="nil"/>
              <w:bottom w:val="single" w:sz="4" w:space="0" w:color="auto"/>
              <w:right w:val="single" w:sz="4" w:space="0" w:color="auto"/>
            </w:tcBorders>
            <w:shd w:val="clear" w:color="000000" w:fill="FFF2CC"/>
            <w:noWrap/>
            <w:vAlign w:val="center"/>
            <w:hideMark/>
          </w:tcPr>
          <w:p w14:paraId="1AC8DE7C"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2025</w:t>
            </w:r>
          </w:p>
        </w:tc>
      </w:tr>
      <w:tr w:rsidR="00C029B9" w:rsidRPr="007C4134" w14:paraId="00B3EDC7"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F2CC"/>
            <w:noWrap/>
            <w:vAlign w:val="center"/>
          </w:tcPr>
          <w:p w14:paraId="282C1A86"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2025</w:t>
            </w:r>
          </w:p>
        </w:tc>
        <w:tc>
          <w:tcPr>
            <w:tcW w:w="3153" w:type="dxa"/>
            <w:tcBorders>
              <w:top w:val="nil"/>
              <w:left w:val="nil"/>
              <w:bottom w:val="single" w:sz="4" w:space="0" w:color="auto"/>
              <w:right w:val="single" w:sz="4" w:space="0" w:color="auto"/>
            </w:tcBorders>
            <w:shd w:val="clear" w:color="000000" w:fill="FFF2CC"/>
            <w:noWrap/>
            <w:vAlign w:val="center"/>
          </w:tcPr>
          <w:p w14:paraId="3F025368"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Financial Health Programme</w:t>
            </w:r>
          </w:p>
        </w:tc>
        <w:tc>
          <w:tcPr>
            <w:tcW w:w="1350" w:type="dxa"/>
            <w:tcBorders>
              <w:top w:val="nil"/>
              <w:left w:val="nil"/>
              <w:bottom w:val="single" w:sz="4" w:space="0" w:color="auto"/>
              <w:right w:val="single" w:sz="4" w:space="0" w:color="auto"/>
            </w:tcBorders>
            <w:shd w:val="clear" w:color="000000" w:fill="FFF2CC"/>
            <w:noWrap/>
            <w:vAlign w:val="center"/>
          </w:tcPr>
          <w:p w14:paraId="5746969F" w14:textId="77777777" w:rsidR="00C029B9" w:rsidRPr="007C4134" w:rsidRDefault="00C029B9" w:rsidP="00006E12">
            <w:pPr>
              <w:jc w:val="center"/>
              <w:rPr>
                <w:rFonts w:ascii="Calibri" w:eastAsia="Times New Roman" w:hAnsi="Calibri" w:cs="Times New Roman"/>
                <w:color w:val="000000"/>
                <w:lang w:eastAsia="es-ES_tradnl"/>
              </w:rPr>
            </w:pPr>
            <w:r>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F2CC"/>
            <w:noWrap/>
            <w:vAlign w:val="center"/>
          </w:tcPr>
          <w:p w14:paraId="4A0D236F"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F2CC"/>
            <w:noWrap/>
            <w:vAlign w:val="center"/>
          </w:tcPr>
          <w:p w14:paraId="751532B6"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F2CC"/>
            <w:noWrap/>
            <w:vAlign w:val="center"/>
          </w:tcPr>
          <w:p w14:paraId="494764B5"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2025</w:t>
            </w:r>
          </w:p>
        </w:tc>
        <w:tc>
          <w:tcPr>
            <w:tcW w:w="1530" w:type="dxa"/>
            <w:tcBorders>
              <w:top w:val="nil"/>
              <w:left w:val="nil"/>
              <w:bottom w:val="single" w:sz="4" w:space="0" w:color="auto"/>
              <w:right w:val="single" w:sz="4" w:space="0" w:color="auto"/>
            </w:tcBorders>
            <w:shd w:val="clear" w:color="000000" w:fill="FFF2CC"/>
            <w:noWrap/>
            <w:vAlign w:val="center"/>
          </w:tcPr>
          <w:p w14:paraId="52EF3F81"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2025</w:t>
            </w:r>
          </w:p>
        </w:tc>
      </w:tr>
      <w:tr w:rsidR="00C029B9" w:rsidRPr="007C4134" w14:paraId="0C1D3395" w14:textId="77777777" w:rsidTr="00C029B9">
        <w:trPr>
          <w:trHeight w:val="300"/>
        </w:trPr>
        <w:tc>
          <w:tcPr>
            <w:tcW w:w="627" w:type="dxa"/>
            <w:tcBorders>
              <w:top w:val="nil"/>
              <w:left w:val="single" w:sz="4" w:space="0" w:color="auto"/>
              <w:bottom w:val="single" w:sz="4" w:space="0" w:color="auto"/>
              <w:right w:val="single" w:sz="4" w:space="0" w:color="auto"/>
            </w:tcBorders>
            <w:shd w:val="clear" w:color="000000" w:fill="FFF2CC"/>
            <w:noWrap/>
            <w:vAlign w:val="center"/>
            <w:hideMark/>
          </w:tcPr>
          <w:p w14:paraId="11B59974"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2025</w:t>
            </w:r>
          </w:p>
        </w:tc>
        <w:tc>
          <w:tcPr>
            <w:tcW w:w="3153" w:type="dxa"/>
            <w:tcBorders>
              <w:top w:val="nil"/>
              <w:left w:val="nil"/>
              <w:bottom w:val="single" w:sz="4" w:space="0" w:color="auto"/>
              <w:right w:val="single" w:sz="4" w:space="0" w:color="auto"/>
            </w:tcBorders>
            <w:shd w:val="clear" w:color="000000" w:fill="FFF2CC"/>
            <w:noWrap/>
            <w:vAlign w:val="center"/>
            <w:hideMark/>
          </w:tcPr>
          <w:p w14:paraId="7ECCA66B"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Pacific Digital Economy Programme</w:t>
            </w:r>
          </w:p>
        </w:tc>
        <w:tc>
          <w:tcPr>
            <w:tcW w:w="1350" w:type="dxa"/>
            <w:tcBorders>
              <w:top w:val="nil"/>
              <w:left w:val="nil"/>
              <w:bottom w:val="single" w:sz="4" w:space="0" w:color="auto"/>
              <w:right w:val="single" w:sz="4" w:space="0" w:color="auto"/>
            </w:tcBorders>
            <w:shd w:val="clear" w:color="000000" w:fill="FFF2CC"/>
            <w:noWrap/>
            <w:vAlign w:val="center"/>
            <w:hideMark/>
          </w:tcPr>
          <w:p w14:paraId="0C1953D1"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Pacific</w:t>
            </w:r>
          </w:p>
        </w:tc>
        <w:tc>
          <w:tcPr>
            <w:tcW w:w="1890" w:type="dxa"/>
            <w:tcBorders>
              <w:top w:val="nil"/>
              <w:left w:val="nil"/>
              <w:bottom w:val="single" w:sz="4" w:space="0" w:color="auto"/>
              <w:right w:val="single" w:sz="4" w:space="0" w:color="auto"/>
            </w:tcBorders>
            <w:shd w:val="clear" w:color="000000" w:fill="FFF2CC"/>
            <w:noWrap/>
            <w:vAlign w:val="center"/>
            <w:hideMark/>
          </w:tcPr>
          <w:p w14:paraId="42B13B3D"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F2CC"/>
            <w:noWrap/>
            <w:vAlign w:val="center"/>
            <w:hideMark/>
          </w:tcPr>
          <w:p w14:paraId="243A637C"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F2CC"/>
            <w:noWrap/>
            <w:vAlign w:val="center"/>
            <w:hideMark/>
          </w:tcPr>
          <w:p w14:paraId="6F075B18"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Q1 2025</w:t>
            </w:r>
          </w:p>
        </w:tc>
        <w:tc>
          <w:tcPr>
            <w:tcW w:w="1530" w:type="dxa"/>
            <w:tcBorders>
              <w:top w:val="nil"/>
              <w:left w:val="nil"/>
              <w:bottom w:val="single" w:sz="4" w:space="0" w:color="auto"/>
              <w:right w:val="single" w:sz="4" w:space="0" w:color="auto"/>
            </w:tcBorders>
            <w:shd w:val="clear" w:color="000000" w:fill="FFF2CC"/>
            <w:noWrap/>
            <w:vAlign w:val="center"/>
            <w:hideMark/>
          </w:tcPr>
          <w:p w14:paraId="083E99C3"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Q3 2025</w:t>
            </w:r>
          </w:p>
        </w:tc>
      </w:tr>
      <w:tr w:rsidR="00C029B9" w:rsidRPr="007C4134" w14:paraId="756B4581" w14:textId="77777777" w:rsidTr="00C029B9">
        <w:trPr>
          <w:trHeight w:val="260"/>
        </w:trPr>
        <w:tc>
          <w:tcPr>
            <w:tcW w:w="627" w:type="dxa"/>
            <w:tcBorders>
              <w:top w:val="nil"/>
              <w:left w:val="single" w:sz="4" w:space="0" w:color="auto"/>
              <w:bottom w:val="single" w:sz="4" w:space="0" w:color="auto"/>
              <w:right w:val="single" w:sz="4" w:space="0" w:color="auto"/>
            </w:tcBorders>
            <w:shd w:val="clear" w:color="000000" w:fill="FFF2CC"/>
            <w:noWrap/>
            <w:vAlign w:val="center"/>
            <w:hideMark/>
          </w:tcPr>
          <w:p w14:paraId="575080AB" w14:textId="77777777" w:rsidR="00C029B9" w:rsidRPr="007C4134" w:rsidRDefault="00C029B9" w:rsidP="00006E12">
            <w:pPr>
              <w:jc w:val="center"/>
              <w:rPr>
                <w:rFonts w:ascii="Calibri" w:eastAsia="Times New Roman" w:hAnsi="Calibri" w:cs="Times New Roman"/>
                <w:bCs/>
                <w:color w:val="000000"/>
                <w:lang w:eastAsia="es-ES_tradnl"/>
              </w:rPr>
            </w:pPr>
            <w:r w:rsidRPr="007C4134">
              <w:rPr>
                <w:rFonts w:ascii="Calibri" w:eastAsia="Times New Roman" w:hAnsi="Calibri" w:cs="Times New Roman"/>
                <w:bCs/>
                <w:color w:val="000000"/>
                <w:lang w:eastAsia="es-ES_tradnl"/>
              </w:rPr>
              <w:t>2025</w:t>
            </w:r>
          </w:p>
        </w:tc>
        <w:tc>
          <w:tcPr>
            <w:tcW w:w="3153" w:type="dxa"/>
            <w:tcBorders>
              <w:top w:val="nil"/>
              <w:left w:val="nil"/>
              <w:bottom w:val="single" w:sz="4" w:space="0" w:color="000000"/>
              <w:right w:val="single" w:sz="4" w:space="0" w:color="auto"/>
            </w:tcBorders>
            <w:shd w:val="clear" w:color="000000" w:fill="FFF2CC"/>
            <w:noWrap/>
            <w:vAlign w:val="center"/>
            <w:hideMark/>
          </w:tcPr>
          <w:p w14:paraId="4664FA09" w14:textId="77777777" w:rsidR="00C029B9" w:rsidRPr="007C4134" w:rsidRDefault="00C029B9" w:rsidP="00006E12">
            <w:pP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MAP Phase 2</w:t>
            </w:r>
          </w:p>
        </w:tc>
        <w:tc>
          <w:tcPr>
            <w:tcW w:w="1350" w:type="dxa"/>
            <w:tcBorders>
              <w:top w:val="nil"/>
              <w:left w:val="nil"/>
              <w:bottom w:val="single" w:sz="4" w:space="0" w:color="auto"/>
              <w:right w:val="single" w:sz="4" w:space="0" w:color="auto"/>
            </w:tcBorders>
            <w:shd w:val="clear" w:color="000000" w:fill="FFF2CC"/>
            <w:noWrap/>
            <w:vAlign w:val="center"/>
            <w:hideMark/>
          </w:tcPr>
          <w:p w14:paraId="2AD903E9"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Global</w:t>
            </w:r>
          </w:p>
        </w:tc>
        <w:tc>
          <w:tcPr>
            <w:tcW w:w="1890" w:type="dxa"/>
            <w:tcBorders>
              <w:top w:val="nil"/>
              <w:left w:val="nil"/>
              <w:bottom w:val="single" w:sz="4" w:space="0" w:color="auto"/>
              <w:right w:val="single" w:sz="4" w:space="0" w:color="auto"/>
            </w:tcBorders>
            <w:shd w:val="clear" w:color="000000" w:fill="FFF2CC"/>
            <w:noWrap/>
            <w:vAlign w:val="center"/>
            <w:hideMark/>
          </w:tcPr>
          <w:p w14:paraId="6277D6E9" w14:textId="6EA6ED99" w:rsidR="00C029B9" w:rsidRPr="007C4134" w:rsidRDefault="00C029B9" w:rsidP="00006E12">
            <w:pPr>
              <w:jc w:val="center"/>
              <w:rPr>
                <w:rFonts w:ascii="Calibri" w:eastAsia="Times New Roman" w:hAnsi="Calibri" w:cs="Times New Roman"/>
                <w:color w:val="000000"/>
                <w:lang w:eastAsia="es-ES_tradnl"/>
              </w:rPr>
            </w:pPr>
            <w:r>
              <w:rPr>
                <w:rFonts w:ascii="Calibri" w:eastAsia="Times New Roman" w:hAnsi="Calibri" w:cs="Times New Roman"/>
                <w:color w:val="000000"/>
                <w:lang w:eastAsia="es-ES_tradnl"/>
              </w:rPr>
              <w:t>IDE</w:t>
            </w:r>
          </w:p>
        </w:tc>
        <w:tc>
          <w:tcPr>
            <w:tcW w:w="1800" w:type="dxa"/>
            <w:tcBorders>
              <w:top w:val="nil"/>
              <w:left w:val="nil"/>
              <w:bottom w:val="single" w:sz="4" w:space="0" w:color="auto"/>
              <w:right w:val="single" w:sz="4" w:space="0" w:color="auto"/>
            </w:tcBorders>
            <w:shd w:val="clear" w:color="000000" w:fill="FFF2CC"/>
            <w:noWrap/>
            <w:vAlign w:val="center"/>
            <w:hideMark/>
          </w:tcPr>
          <w:p w14:paraId="2A7C9D9C" w14:textId="77777777" w:rsidR="00C029B9" w:rsidRPr="007C4134" w:rsidRDefault="00C029B9" w:rsidP="00006E12">
            <w:pPr>
              <w:jc w:val="center"/>
              <w:rPr>
                <w:rFonts w:ascii="Calibri" w:eastAsia="Times New Roman" w:hAnsi="Calibri" w:cs="Times New Roman"/>
                <w:color w:val="000000"/>
                <w:lang w:eastAsia="es-ES_tradnl"/>
              </w:rPr>
            </w:pPr>
            <w:r w:rsidRPr="007C4134">
              <w:rPr>
                <w:rFonts w:ascii="Calibri" w:eastAsia="Times New Roman" w:hAnsi="Calibri" w:cs="Times New Roman"/>
                <w:color w:val="000000"/>
                <w:lang w:eastAsia="es-ES_tradnl"/>
              </w:rPr>
              <w:t>Final Programme Evaluation</w:t>
            </w:r>
          </w:p>
        </w:tc>
        <w:tc>
          <w:tcPr>
            <w:tcW w:w="1800" w:type="dxa"/>
            <w:tcBorders>
              <w:top w:val="nil"/>
              <w:left w:val="nil"/>
              <w:bottom w:val="single" w:sz="4" w:space="0" w:color="auto"/>
              <w:right w:val="single" w:sz="4" w:space="0" w:color="auto"/>
            </w:tcBorders>
            <w:shd w:val="clear" w:color="000000" w:fill="FFF2CC"/>
            <w:noWrap/>
            <w:vAlign w:val="center"/>
            <w:hideMark/>
          </w:tcPr>
          <w:p w14:paraId="09B731E8"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Q2 2025</w:t>
            </w:r>
          </w:p>
        </w:tc>
        <w:tc>
          <w:tcPr>
            <w:tcW w:w="1530" w:type="dxa"/>
            <w:tcBorders>
              <w:top w:val="nil"/>
              <w:left w:val="nil"/>
              <w:bottom w:val="single" w:sz="4" w:space="0" w:color="auto"/>
              <w:right w:val="single" w:sz="4" w:space="0" w:color="auto"/>
            </w:tcBorders>
            <w:shd w:val="clear" w:color="000000" w:fill="FFF2CC"/>
            <w:noWrap/>
            <w:vAlign w:val="center"/>
            <w:hideMark/>
          </w:tcPr>
          <w:p w14:paraId="540248A7" w14:textId="77777777" w:rsidR="00C029B9" w:rsidRPr="007C4134" w:rsidRDefault="00C029B9" w:rsidP="00006E12">
            <w:pPr>
              <w:jc w:val="center"/>
              <w:rPr>
                <w:rFonts w:ascii="Calibri" w:eastAsia="Times New Roman" w:hAnsi="Calibri" w:cs="Times New Roman"/>
                <w:b/>
                <w:bCs/>
                <w:color w:val="000000"/>
                <w:lang w:eastAsia="es-ES_tradnl"/>
              </w:rPr>
            </w:pPr>
            <w:r w:rsidRPr="007C4134">
              <w:rPr>
                <w:rFonts w:ascii="Calibri" w:eastAsia="Times New Roman" w:hAnsi="Calibri" w:cs="Times New Roman"/>
                <w:b/>
                <w:bCs/>
                <w:color w:val="000000"/>
                <w:lang w:eastAsia="es-ES_tradnl"/>
              </w:rPr>
              <w:t>Q4 2025</w:t>
            </w:r>
          </w:p>
        </w:tc>
      </w:tr>
    </w:tbl>
    <w:p w14:paraId="259DD11B" w14:textId="77777777" w:rsidR="00A04193" w:rsidRPr="00A04193" w:rsidRDefault="00A04193" w:rsidP="0040585D">
      <w:pPr>
        <w:jc w:val="both"/>
        <w:rPr>
          <w:b/>
          <w:bCs/>
          <w:u w:val="single"/>
        </w:rPr>
      </w:pPr>
    </w:p>
    <w:sectPr w:rsidR="00A04193" w:rsidRPr="00A04193" w:rsidSect="0040585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44A6" w14:textId="77777777" w:rsidR="00C251E2" w:rsidRDefault="00C251E2" w:rsidP="00486ED3">
      <w:pPr>
        <w:spacing w:after="0" w:line="240" w:lineRule="auto"/>
      </w:pPr>
      <w:r>
        <w:separator/>
      </w:r>
    </w:p>
  </w:endnote>
  <w:endnote w:type="continuationSeparator" w:id="0">
    <w:p w14:paraId="4307BACD" w14:textId="77777777" w:rsidR="00C251E2" w:rsidRDefault="00C251E2" w:rsidP="0048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029689"/>
      <w:docPartObj>
        <w:docPartGallery w:val="Page Numbers (Bottom of Page)"/>
        <w:docPartUnique/>
      </w:docPartObj>
    </w:sdtPr>
    <w:sdtEndPr>
      <w:rPr>
        <w:noProof/>
      </w:rPr>
    </w:sdtEndPr>
    <w:sdtContent>
      <w:p w14:paraId="5B5B7235" w14:textId="550F9BDF" w:rsidR="00093600" w:rsidRDefault="00093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2FB8F" w14:textId="77777777" w:rsidR="00093600" w:rsidRDefault="00093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8E12A" w14:textId="77777777" w:rsidR="00C251E2" w:rsidRDefault="00C251E2" w:rsidP="00486ED3">
      <w:pPr>
        <w:spacing w:after="0" w:line="240" w:lineRule="auto"/>
      </w:pPr>
      <w:r>
        <w:separator/>
      </w:r>
    </w:p>
  </w:footnote>
  <w:footnote w:type="continuationSeparator" w:id="0">
    <w:p w14:paraId="4381EE01" w14:textId="77777777" w:rsidR="00C251E2" w:rsidRDefault="00C251E2" w:rsidP="00486ED3">
      <w:pPr>
        <w:spacing w:after="0" w:line="240" w:lineRule="auto"/>
      </w:pPr>
      <w:r>
        <w:continuationSeparator/>
      </w:r>
    </w:p>
  </w:footnote>
  <w:footnote w:id="1">
    <w:p w14:paraId="5029FEDE" w14:textId="06A3C9B4" w:rsidR="000F7BC3" w:rsidRPr="0040585D" w:rsidRDefault="000F7BC3">
      <w:pPr>
        <w:pStyle w:val="FootnoteText"/>
        <w:rPr>
          <w:lang w:val="en-GB"/>
        </w:rPr>
      </w:pPr>
      <w:r>
        <w:rPr>
          <w:rStyle w:val="FootnoteReference"/>
        </w:rPr>
        <w:footnoteRef/>
      </w:r>
      <w:r>
        <w:t xml:space="preserve"> </w:t>
      </w:r>
      <w:r w:rsidRPr="000F7BC3">
        <w:t>http://web.undp.org/evaluation/policy.shtml</w:t>
      </w:r>
    </w:p>
  </w:footnote>
  <w:footnote w:id="2">
    <w:p w14:paraId="0F294E97" w14:textId="77777777" w:rsidR="00486ED3" w:rsidRDefault="00486ED3" w:rsidP="00486ED3">
      <w:r>
        <w:rPr>
          <w:rStyle w:val="FootnoteReference"/>
        </w:rPr>
        <w:footnoteRef/>
      </w:r>
      <w:r>
        <w:t xml:space="preserve"> </w:t>
      </w:r>
      <w:r w:rsidRPr="00E51B6A">
        <w:rPr>
          <w:sz w:val="20"/>
          <w:szCs w:val="20"/>
        </w:rPr>
        <w:t xml:space="preserve">It should be noted that in line with the requirements of the Evaluation Policy, the first two years of the Plan are costed. Depending on the size of UNCDF’s portfolio and its success in raising </w:t>
      </w:r>
      <w:r>
        <w:rPr>
          <w:sz w:val="20"/>
          <w:szCs w:val="20"/>
        </w:rPr>
        <w:t xml:space="preserve">resources </w:t>
      </w:r>
      <w:r w:rsidRPr="00E51B6A">
        <w:rPr>
          <w:sz w:val="20"/>
          <w:szCs w:val="20"/>
        </w:rPr>
        <w:t xml:space="preserve">to implement the broader </w:t>
      </w:r>
      <w:r>
        <w:rPr>
          <w:sz w:val="20"/>
          <w:szCs w:val="20"/>
        </w:rPr>
        <w:t xml:space="preserve">objectives of the </w:t>
      </w:r>
      <w:r w:rsidRPr="00E51B6A">
        <w:rPr>
          <w:sz w:val="20"/>
          <w:szCs w:val="20"/>
        </w:rPr>
        <w:t>Strategic Framework, however, the content and focus of the Plan may change.</w:t>
      </w:r>
      <w:r>
        <w:rPr>
          <w:sz w:val="24"/>
          <w:szCs w:val="24"/>
        </w:rPr>
        <w:t xml:space="preserve"> </w:t>
      </w:r>
    </w:p>
  </w:footnote>
  <w:footnote w:id="3">
    <w:p w14:paraId="232A0B14" w14:textId="2A5F9BF4" w:rsidR="00232D24" w:rsidRPr="00232D24" w:rsidRDefault="00232D24">
      <w:pPr>
        <w:pStyle w:val="FootnoteText"/>
        <w:rPr>
          <w:lang w:val="en-GB"/>
        </w:rPr>
      </w:pPr>
      <w:r>
        <w:rPr>
          <w:rStyle w:val="FootnoteReference"/>
        </w:rPr>
        <w:footnoteRef/>
      </w:r>
      <w:r>
        <w:t xml:space="preserve"> In line with the relevant target in the UNDP Evaluation Policy (point 27), </w:t>
      </w:r>
      <w:r>
        <w:rPr>
          <w:lang w:val="en-GB"/>
        </w:rPr>
        <w:t xml:space="preserve">UNCDF will aim to continue allocate at least 1 per cent of its combined programmatic (core and non-core) resources to the evaluation function on an annual basis. </w:t>
      </w:r>
    </w:p>
  </w:footnote>
  <w:footnote w:id="4">
    <w:p w14:paraId="75D7CD2C" w14:textId="2D986666" w:rsidR="00CB4337" w:rsidRPr="00CB4337" w:rsidRDefault="00CB4337">
      <w:pPr>
        <w:pStyle w:val="FootnoteText"/>
      </w:pPr>
      <w:r>
        <w:rPr>
          <w:rStyle w:val="FootnoteReference"/>
        </w:rPr>
        <w:footnoteRef/>
      </w:r>
      <w:r>
        <w:t xml:space="preserve"> </w:t>
      </w:r>
      <w:r w:rsidRPr="00253AE3">
        <w:rPr>
          <w:i/>
          <w:iCs/>
        </w:rPr>
        <w:t>UNCDF Strategic Framework</w:t>
      </w:r>
      <w:r>
        <w:t>, 2022 – 2025, point. 93.</w:t>
      </w:r>
    </w:p>
  </w:footnote>
  <w:footnote w:id="5">
    <w:p w14:paraId="1131B081" w14:textId="76B94B35" w:rsidR="00D5314B" w:rsidRPr="00D5314B" w:rsidRDefault="00D5314B">
      <w:pPr>
        <w:pStyle w:val="FootnoteText"/>
      </w:pPr>
      <w:r>
        <w:rPr>
          <w:rStyle w:val="FootnoteReference"/>
        </w:rPr>
        <w:footnoteRef/>
      </w:r>
      <w:r>
        <w:t xml:space="preserve"> </w:t>
      </w:r>
      <w:r w:rsidR="00C029B9">
        <w:t xml:space="preserve">All UNCDF evaluations are published, alongside management responses, on UNDP’s Evaluation Resource Center: </w:t>
      </w:r>
      <w:hyperlink r:id="rId1" w:history="1">
        <w:r w:rsidR="00C029B9" w:rsidRPr="00964C19">
          <w:rPr>
            <w:rStyle w:val="Hyperlink"/>
          </w:rPr>
          <w:t>https://erc.undp.org/evaluation/units/255</w:t>
        </w:r>
      </w:hyperlink>
      <w:r w:rsidR="00C029B9">
        <w:t xml:space="preserve">. </w:t>
      </w:r>
      <w:r>
        <w:t>In s</w:t>
      </w:r>
      <w:r w:rsidR="00C029B9">
        <w:t xml:space="preserve">eventeen </w:t>
      </w:r>
      <w:r>
        <w:t xml:space="preserve">evaluations submitted to the IEO for quality assessment since 2015, </w:t>
      </w:r>
      <w:r w:rsidR="00C029B9">
        <w:t xml:space="preserve">sixteen </w:t>
      </w:r>
      <w:r>
        <w:t>evaluations have received scores of ‘satisfactory’ or ‘highly satisfactory’.</w:t>
      </w:r>
      <w:r w:rsidR="003E53DD">
        <w:t xml:space="preserve"> UNCDF will aim to maintain this reputation for high-quality evaluation throughout the 2022 – 2025 programming period.</w:t>
      </w:r>
    </w:p>
  </w:footnote>
  <w:footnote w:id="6">
    <w:p w14:paraId="53D1B936" w14:textId="02B0D4BE" w:rsidR="00DD467A" w:rsidRPr="00EB1720" w:rsidRDefault="00DD467A">
      <w:pPr>
        <w:pStyle w:val="FootnoteText"/>
        <w:rPr>
          <w:lang w:val="fr-BE"/>
        </w:rPr>
      </w:pPr>
      <w:r>
        <w:rPr>
          <w:rStyle w:val="FootnoteReference"/>
        </w:rPr>
        <w:footnoteRef/>
      </w:r>
      <w:r>
        <w:t xml:space="preserve"> </w:t>
      </w:r>
      <w:r>
        <w:rPr>
          <w:lang w:val="en-GB"/>
        </w:rPr>
        <w:t>Over the 2018 – 2021 period, UNCDF’</w:t>
      </w:r>
      <w:r w:rsidR="00D23DBC">
        <w:rPr>
          <w:lang w:val="en-GB"/>
        </w:rPr>
        <w:t>s</w:t>
      </w:r>
      <w:r>
        <w:rPr>
          <w:lang w:val="en-GB"/>
        </w:rPr>
        <w:t xml:space="preserve"> Evaluation Unit played an important role in the </w:t>
      </w:r>
      <w:r w:rsidRPr="00DD467A">
        <w:rPr>
          <w:b/>
          <w:bCs/>
          <w:lang w:val="en-GB"/>
        </w:rPr>
        <w:t>UN Evaluation Group</w:t>
      </w:r>
      <w:r w:rsidR="00093600">
        <w:rPr>
          <w:b/>
          <w:bCs/>
          <w:lang w:val="en-GB"/>
        </w:rPr>
        <w:t xml:space="preserve"> (UNEG)</w:t>
      </w:r>
      <w:r>
        <w:rPr>
          <w:lang w:val="en-GB"/>
        </w:rPr>
        <w:t xml:space="preserve">, co-launching a new </w:t>
      </w:r>
      <w:r w:rsidRPr="00DD467A">
        <w:rPr>
          <w:i/>
          <w:iCs/>
          <w:lang w:val="en-GB"/>
        </w:rPr>
        <w:t>Working Group on Evaluation Methods</w:t>
      </w:r>
      <w:r>
        <w:rPr>
          <w:lang w:val="en-GB"/>
        </w:rPr>
        <w:t xml:space="preserve">, convening since 2020 the </w:t>
      </w:r>
      <w:r w:rsidRPr="00DD467A">
        <w:rPr>
          <w:i/>
          <w:iCs/>
          <w:lang w:val="en-GB"/>
        </w:rPr>
        <w:t>Working Group on UNEG Peer Reviews</w:t>
      </w:r>
      <w:r>
        <w:rPr>
          <w:lang w:val="en-GB"/>
        </w:rPr>
        <w:t xml:space="preserve"> and helping in the executive management of the Group with the election also in 2020 of UNCDF’s current Head of Evaluation as one of UNEG’s Vice Chairs. </w:t>
      </w:r>
    </w:p>
  </w:footnote>
  <w:footnote w:id="7">
    <w:p w14:paraId="7ABCA564" w14:textId="7CF49770" w:rsidR="00093600" w:rsidRPr="00EB1720" w:rsidRDefault="00093600">
      <w:pPr>
        <w:pStyle w:val="FootnoteText"/>
        <w:rPr>
          <w:lang w:val="fr-BE"/>
        </w:rPr>
      </w:pPr>
      <w:r>
        <w:rPr>
          <w:rStyle w:val="FootnoteReference"/>
        </w:rPr>
        <w:footnoteRef/>
      </w:r>
      <w:r w:rsidRPr="00EB1720">
        <w:rPr>
          <w:lang w:val="fr-BE"/>
        </w:rPr>
        <w:t xml:space="preserve"> https://www.oecd.org/dac/evaluation/evaluating-private-sector-blended-finance.htm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D3"/>
    <w:rsid w:val="00093600"/>
    <w:rsid w:val="0009635E"/>
    <w:rsid w:val="000B3E1F"/>
    <w:rsid w:val="000F7BC3"/>
    <w:rsid w:val="00141400"/>
    <w:rsid w:val="00173130"/>
    <w:rsid w:val="00215FD5"/>
    <w:rsid w:val="00232D24"/>
    <w:rsid w:val="00253AE3"/>
    <w:rsid w:val="00277363"/>
    <w:rsid w:val="002B5258"/>
    <w:rsid w:val="002B6E00"/>
    <w:rsid w:val="00347B16"/>
    <w:rsid w:val="003E53DD"/>
    <w:rsid w:val="003E7D83"/>
    <w:rsid w:val="0040585D"/>
    <w:rsid w:val="004366A3"/>
    <w:rsid w:val="00486ED3"/>
    <w:rsid w:val="004A3AEF"/>
    <w:rsid w:val="004B1AFB"/>
    <w:rsid w:val="00517B5A"/>
    <w:rsid w:val="00524359"/>
    <w:rsid w:val="005B7958"/>
    <w:rsid w:val="005E6414"/>
    <w:rsid w:val="00711197"/>
    <w:rsid w:val="007246A2"/>
    <w:rsid w:val="00734F15"/>
    <w:rsid w:val="00762FA6"/>
    <w:rsid w:val="00782918"/>
    <w:rsid w:val="007D199C"/>
    <w:rsid w:val="007E1B80"/>
    <w:rsid w:val="007F6F6B"/>
    <w:rsid w:val="008028BE"/>
    <w:rsid w:val="008C4ADD"/>
    <w:rsid w:val="008F77D5"/>
    <w:rsid w:val="00923FCE"/>
    <w:rsid w:val="0093563A"/>
    <w:rsid w:val="00A04193"/>
    <w:rsid w:val="00B67400"/>
    <w:rsid w:val="00BA222F"/>
    <w:rsid w:val="00BC0407"/>
    <w:rsid w:val="00BD30D5"/>
    <w:rsid w:val="00C029B9"/>
    <w:rsid w:val="00C2007B"/>
    <w:rsid w:val="00C251E2"/>
    <w:rsid w:val="00CB1368"/>
    <w:rsid w:val="00CB4337"/>
    <w:rsid w:val="00CB6124"/>
    <w:rsid w:val="00CB69BB"/>
    <w:rsid w:val="00CC6FDD"/>
    <w:rsid w:val="00CF384D"/>
    <w:rsid w:val="00D23DBC"/>
    <w:rsid w:val="00D30FE5"/>
    <w:rsid w:val="00D5314B"/>
    <w:rsid w:val="00D80F65"/>
    <w:rsid w:val="00DD467A"/>
    <w:rsid w:val="00E25EB0"/>
    <w:rsid w:val="00E710F6"/>
    <w:rsid w:val="00EB036B"/>
    <w:rsid w:val="00EB1720"/>
    <w:rsid w:val="00F01474"/>
    <w:rsid w:val="00F12273"/>
    <w:rsid w:val="00F839E1"/>
    <w:rsid w:val="00F93AEF"/>
    <w:rsid w:val="00FB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5163"/>
  <w15:chartTrackingRefBased/>
  <w15:docId w15:val="{6CEC7354-F8B7-45C9-A162-45FC6D6E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6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ED3"/>
    <w:rPr>
      <w:sz w:val="20"/>
      <w:szCs w:val="20"/>
    </w:rPr>
  </w:style>
  <w:style w:type="character" w:styleId="FootnoteReference">
    <w:name w:val="footnote reference"/>
    <w:basedOn w:val="DefaultParagraphFont"/>
    <w:uiPriority w:val="99"/>
    <w:semiHidden/>
    <w:unhideWhenUsed/>
    <w:rsid w:val="00486ED3"/>
    <w:rPr>
      <w:vertAlign w:val="superscript"/>
    </w:rPr>
  </w:style>
  <w:style w:type="character" w:styleId="Hyperlink">
    <w:name w:val="Hyperlink"/>
    <w:basedOn w:val="DefaultParagraphFont"/>
    <w:uiPriority w:val="99"/>
    <w:unhideWhenUsed/>
    <w:rsid w:val="00486ED3"/>
    <w:rPr>
      <w:color w:val="0563C1" w:themeColor="hyperlink"/>
      <w:u w:val="single"/>
    </w:rPr>
  </w:style>
  <w:style w:type="character" w:styleId="CommentReference">
    <w:name w:val="annotation reference"/>
    <w:basedOn w:val="DefaultParagraphFont"/>
    <w:uiPriority w:val="99"/>
    <w:semiHidden/>
    <w:unhideWhenUsed/>
    <w:rsid w:val="007246A2"/>
    <w:rPr>
      <w:sz w:val="16"/>
      <w:szCs w:val="16"/>
    </w:rPr>
  </w:style>
  <w:style w:type="paragraph" w:styleId="CommentText">
    <w:name w:val="annotation text"/>
    <w:basedOn w:val="Normal"/>
    <w:link w:val="CommentTextChar"/>
    <w:uiPriority w:val="99"/>
    <w:semiHidden/>
    <w:unhideWhenUsed/>
    <w:rsid w:val="007246A2"/>
    <w:pPr>
      <w:spacing w:line="240" w:lineRule="auto"/>
    </w:pPr>
    <w:rPr>
      <w:sz w:val="20"/>
      <w:szCs w:val="20"/>
    </w:rPr>
  </w:style>
  <w:style w:type="character" w:customStyle="1" w:styleId="CommentTextChar">
    <w:name w:val="Comment Text Char"/>
    <w:basedOn w:val="DefaultParagraphFont"/>
    <w:link w:val="CommentText"/>
    <w:uiPriority w:val="99"/>
    <w:semiHidden/>
    <w:rsid w:val="007246A2"/>
    <w:rPr>
      <w:sz w:val="20"/>
      <w:szCs w:val="20"/>
    </w:rPr>
  </w:style>
  <w:style w:type="paragraph" w:styleId="CommentSubject">
    <w:name w:val="annotation subject"/>
    <w:basedOn w:val="CommentText"/>
    <w:next w:val="CommentText"/>
    <w:link w:val="CommentSubjectChar"/>
    <w:uiPriority w:val="99"/>
    <w:semiHidden/>
    <w:unhideWhenUsed/>
    <w:rsid w:val="007246A2"/>
    <w:rPr>
      <w:b/>
      <w:bCs/>
    </w:rPr>
  </w:style>
  <w:style w:type="character" w:customStyle="1" w:styleId="CommentSubjectChar">
    <w:name w:val="Comment Subject Char"/>
    <w:basedOn w:val="CommentTextChar"/>
    <w:link w:val="CommentSubject"/>
    <w:uiPriority w:val="99"/>
    <w:semiHidden/>
    <w:rsid w:val="007246A2"/>
    <w:rPr>
      <w:b/>
      <w:bCs/>
      <w:sz w:val="20"/>
      <w:szCs w:val="20"/>
    </w:rPr>
  </w:style>
  <w:style w:type="paragraph" w:styleId="Header">
    <w:name w:val="header"/>
    <w:basedOn w:val="Normal"/>
    <w:link w:val="HeaderChar"/>
    <w:uiPriority w:val="99"/>
    <w:unhideWhenUsed/>
    <w:rsid w:val="00093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600"/>
  </w:style>
  <w:style w:type="paragraph" w:styleId="Footer">
    <w:name w:val="footer"/>
    <w:basedOn w:val="Normal"/>
    <w:link w:val="FooterChar"/>
    <w:uiPriority w:val="99"/>
    <w:unhideWhenUsed/>
    <w:rsid w:val="00093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600"/>
  </w:style>
  <w:style w:type="character" w:styleId="UnresolvedMention">
    <w:name w:val="Unresolved Mention"/>
    <w:basedOn w:val="DefaultParagraphFont"/>
    <w:uiPriority w:val="99"/>
    <w:semiHidden/>
    <w:unhideWhenUsed/>
    <w:rsid w:val="00C0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649442">
      <w:bodyDiv w:val="1"/>
      <w:marLeft w:val="0"/>
      <w:marRight w:val="0"/>
      <w:marTop w:val="0"/>
      <w:marBottom w:val="0"/>
      <w:divBdr>
        <w:top w:val="none" w:sz="0" w:space="0" w:color="auto"/>
        <w:left w:val="none" w:sz="0" w:space="0" w:color="auto"/>
        <w:bottom w:val="none" w:sz="0" w:space="0" w:color="auto"/>
        <w:right w:val="none" w:sz="0" w:space="0" w:color="auto"/>
      </w:divBdr>
      <w:divsChild>
        <w:div w:id="930310248">
          <w:marLeft w:val="0"/>
          <w:marRight w:val="0"/>
          <w:marTop w:val="0"/>
          <w:marBottom w:val="0"/>
          <w:divBdr>
            <w:top w:val="none" w:sz="0" w:space="0" w:color="auto"/>
            <w:left w:val="none" w:sz="0" w:space="0" w:color="auto"/>
            <w:bottom w:val="none" w:sz="0" w:space="0" w:color="auto"/>
            <w:right w:val="none" w:sz="0" w:space="0" w:color="auto"/>
          </w:divBdr>
          <w:divsChild>
            <w:div w:id="900560102">
              <w:marLeft w:val="0"/>
              <w:marRight w:val="0"/>
              <w:marTop w:val="0"/>
              <w:marBottom w:val="0"/>
              <w:divBdr>
                <w:top w:val="none" w:sz="0" w:space="0" w:color="auto"/>
                <w:left w:val="none" w:sz="0" w:space="0" w:color="auto"/>
                <w:bottom w:val="none" w:sz="0" w:space="0" w:color="auto"/>
                <w:right w:val="none" w:sz="0" w:space="0" w:color="auto"/>
              </w:divBdr>
            </w:div>
          </w:divsChild>
        </w:div>
        <w:div w:id="1372723662">
          <w:marLeft w:val="0"/>
          <w:marRight w:val="0"/>
          <w:marTop w:val="0"/>
          <w:marBottom w:val="0"/>
          <w:divBdr>
            <w:top w:val="none" w:sz="0" w:space="0" w:color="auto"/>
            <w:left w:val="none" w:sz="0" w:space="0" w:color="auto"/>
            <w:bottom w:val="none" w:sz="0" w:space="0" w:color="auto"/>
            <w:right w:val="none" w:sz="0" w:space="0" w:color="auto"/>
          </w:divBdr>
          <w:divsChild>
            <w:div w:id="222299602">
              <w:marLeft w:val="0"/>
              <w:marRight w:val="0"/>
              <w:marTop w:val="0"/>
              <w:marBottom w:val="0"/>
              <w:divBdr>
                <w:top w:val="none" w:sz="0" w:space="0" w:color="auto"/>
                <w:left w:val="none" w:sz="0" w:space="0" w:color="auto"/>
                <w:bottom w:val="none" w:sz="0" w:space="0" w:color="auto"/>
                <w:right w:val="none" w:sz="0" w:space="0" w:color="auto"/>
              </w:divBdr>
            </w:div>
          </w:divsChild>
        </w:div>
        <w:div w:id="418060820">
          <w:marLeft w:val="0"/>
          <w:marRight w:val="0"/>
          <w:marTop w:val="0"/>
          <w:marBottom w:val="0"/>
          <w:divBdr>
            <w:top w:val="none" w:sz="0" w:space="0" w:color="auto"/>
            <w:left w:val="none" w:sz="0" w:space="0" w:color="auto"/>
            <w:bottom w:val="none" w:sz="0" w:space="0" w:color="auto"/>
            <w:right w:val="none" w:sz="0" w:space="0" w:color="auto"/>
          </w:divBdr>
          <w:divsChild>
            <w:div w:id="272904286">
              <w:marLeft w:val="0"/>
              <w:marRight w:val="0"/>
              <w:marTop w:val="0"/>
              <w:marBottom w:val="0"/>
              <w:divBdr>
                <w:top w:val="none" w:sz="0" w:space="0" w:color="auto"/>
                <w:left w:val="none" w:sz="0" w:space="0" w:color="auto"/>
                <w:bottom w:val="none" w:sz="0" w:space="0" w:color="auto"/>
                <w:right w:val="none" w:sz="0" w:space="0" w:color="auto"/>
              </w:divBdr>
            </w:div>
          </w:divsChild>
        </w:div>
        <w:div w:id="1718116031">
          <w:marLeft w:val="0"/>
          <w:marRight w:val="0"/>
          <w:marTop w:val="0"/>
          <w:marBottom w:val="0"/>
          <w:divBdr>
            <w:top w:val="none" w:sz="0" w:space="0" w:color="auto"/>
            <w:left w:val="none" w:sz="0" w:space="0" w:color="auto"/>
            <w:bottom w:val="none" w:sz="0" w:space="0" w:color="auto"/>
            <w:right w:val="none" w:sz="0" w:space="0" w:color="auto"/>
          </w:divBdr>
          <w:divsChild>
            <w:div w:id="298999814">
              <w:marLeft w:val="0"/>
              <w:marRight w:val="0"/>
              <w:marTop w:val="0"/>
              <w:marBottom w:val="0"/>
              <w:divBdr>
                <w:top w:val="none" w:sz="0" w:space="0" w:color="auto"/>
                <w:left w:val="none" w:sz="0" w:space="0" w:color="auto"/>
                <w:bottom w:val="none" w:sz="0" w:space="0" w:color="auto"/>
                <w:right w:val="none" w:sz="0" w:space="0" w:color="auto"/>
              </w:divBdr>
            </w:div>
          </w:divsChild>
        </w:div>
        <w:div w:id="305622314">
          <w:marLeft w:val="0"/>
          <w:marRight w:val="0"/>
          <w:marTop w:val="0"/>
          <w:marBottom w:val="0"/>
          <w:divBdr>
            <w:top w:val="none" w:sz="0" w:space="0" w:color="auto"/>
            <w:left w:val="none" w:sz="0" w:space="0" w:color="auto"/>
            <w:bottom w:val="none" w:sz="0" w:space="0" w:color="auto"/>
            <w:right w:val="none" w:sz="0" w:space="0" w:color="auto"/>
          </w:divBdr>
          <w:divsChild>
            <w:div w:id="1526674102">
              <w:marLeft w:val="0"/>
              <w:marRight w:val="0"/>
              <w:marTop w:val="0"/>
              <w:marBottom w:val="0"/>
              <w:divBdr>
                <w:top w:val="none" w:sz="0" w:space="0" w:color="auto"/>
                <w:left w:val="none" w:sz="0" w:space="0" w:color="auto"/>
                <w:bottom w:val="none" w:sz="0" w:space="0" w:color="auto"/>
                <w:right w:val="none" w:sz="0" w:space="0" w:color="auto"/>
              </w:divBdr>
            </w:div>
          </w:divsChild>
        </w:div>
        <w:div w:id="1399668702">
          <w:marLeft w:val="0"/>
          <w:marRight w:val="0"/>
          <w:marTop w:val="0"/>
          <w:marBottom w:val="0"/>
          <w:divBdr>
            <w:top w:val="none" w:sz="0" w:space="0" w:color="auto"/>
            <w:left w:val="none" w:sz="0" w:space="0" w:color="auto"/>
            <w:bottom w:val="none" w:sz="0" w:space="0" w:color="auto"/>
            <w:right w:val="none" w:sz="0" w:space="0" w:color="auto"/>
          </w:divBdr>
          <w:divsChild>
            <w:div w:id="365759558">
              <w:marLeft w:val="0"/>
              <w:marRight w:val="0"/>
              <w:marTop w:val="0"/>
              <w:marBottom w:val="0"/>
              <w:divBdr>
                <w:top w:val="none" w:sz="0" w:space="0" w:color="auto"/>
                <w:left w:val="none" w:sz="0" w:space="0" w:color="auto"/>
                <w:bottom w:val="none" w:sz="0" w:space="0" w:color="auto"/>
                <w:right w:val="none" w:sz="0" w:space="0" w:color="auto"/>
              </w:divBdr>
            </w:div>
          </w:divsChild>
        </w:div>
        <w:div w:id="632756635">
          <w:marLeft w:val="0"/>
          <w:marRight w:val="0"/>
          <w:marTop w:val="0"/>
          <w:marBottom w:val="0"/>
          <w:divBdr>
            <w:top w:val="none" w:sz="0" w:space="0" w:color="auto"/>
            <w:left w:val="none" w:sz="0" w:space="0" w:color="auto"/>
            <w:bottom w:val="none" w:sz="0" w:space="0" w:color="auto"/>
            <w:right w:val="none" w:sz="0" w:space="0" w:color="auto"/>
          </w:divBdr>
          <w:divsChild>
            <w:div w:id="990790678">
              <w:marLeft w:val="0"/>
              <w:marRight w:val="0"/>
              <w:marTop w:val="0"/>
              <w:marBottom w:val="0"/>
              <w:divBdr>
                <w:top w:val="none" w:sz="0" w:space="0" w:color="auto"/>
                <w:left w:val="none" w:sz="0" w:space="0" w:color="auto"/>
                <w:bottom w:val="none" w:sz="0" w:space="0" w:color="auto"/>
                <w:right w:val="none" w:sz="0" w:space="0" w:color="auto"/>
              </w:divBdr>
            </w:div>
          </w:divsChild>
        </w:div>
        <w:div w:id="1283145516">
          <w:marLeft w:val="0"/>
          <w:marRight w:val="0"/>
          <w:marTop w:val="0"/>
          <w:marBottom w:val="0"/>
          <w:divBdr>
            <w:top w:val="none" w:sz="0" w:space="0" w:color="auto"/>
            <w:left w:val="none" w:sz="0" w:space="0" w:color="auto"/>
            <w:bottom w:val="none" w:sz="0" w:space="0" w:color="auto"/>
            <w:right w:val="none" w:sz="0" w:space="0" w:color="auto"/>
          </w:divBdr>
          <w:divsChild>
            <w:div w:id="1675376179">
              <w:marLeft w:val="0"/>
              <w:marRight w:val="0"/>
              <w:marTop w:val="0"/>
              <w:marBottom w:val="0"/>
              <w:divBdr>
                <w:top w:val="none" w:sz="0" w:space="0" w:color="auto"/>
                <w:left w:val="none" w:sz="0" w:space="0" w:color="auto"/>
                <w:bottom w:val="none" w:sz="0" w:space="0" w:color="auto"/>
                <w:right w:val="none" w:sz="0" w:space="0" w:color="auto"/>
              </w:divBdr>
            </w:div>
          </w:divsChild>
        </w:div>
        <w:div w:id="547910146">
          <w:marLeft w:val="0"/>
          <w:marRight w:val="0"/>
          <w:marTop w:val="0"/>
          <w:marBottom w:val="0"/>
          <w:divBdr>
            <w:top w:val="none" w:sz="0" w:space="0" w:color="auto"/>
            <w:left w:val="none" w:sz="0" w:space="0" w:color="auto"/>
            <w:bottom w:val="none" w:sz="0" w:space="0" w:color="auto"/>
            <w:right w:val="none" w:sz="0" w:space="0" w:color="auto"/>
          </w:divBdr>
          <w:divsChild>
            <w:div w:id="224806437">
              <w:marLeft w:val="0"/>
              <w:marRight w:val="0"/>
              <w:marTop w:val="0"/>
              <w:marBottom w:val="0"/>
              <w:divBdr>
                <w:top w:val="none" w:sz="0" w:space="0" w:color="auto"/>
                <w:left w:val="none" w:sz="0" w:space="0" w:color="auto"/>
                <w:bottom w:val="none" w:sz="0" w:space="0" w:color="auto"/>
                <w:right w:val="none" w:sz="0" w:space="0" w:color="auto"/>
              </w:divBdr>
            </w:div>
          </w:divsChild>
        </w:div>
        <w:div w:id="1000616167">
          <w:marLeft w:val="0"/>
          <w:marRight w:val="0"/>
          <w:marTop w:val="0"/>
          <w:marBottom w:val="0"/>
          <w:divBdr>
            <w:top w:val="none" w:sz="0" w:space="0" w:color="auto"/>
            <w:left w:val="none" w:sz="0" w:space="0" w:color="auto"/>
            <w:bottom w:val="none" w:sz="0" w:space="0" w:color="auto"/>
            <w:right w:val="none" w:sz="0" w:space="0" w:color="auto"/>
          </w:divBdr>
          <w:divsChild>
            <w:div w:id="1720665094">
              <w:marLeft w:val="0"/>
              <w:marRight w:val="0"/>
              <w:marTop w:val="0"/>
              <w:marBottom w:val="0"/>
              <w:divBdr>
                <w:top w:val="none" w:sz="0" w:space="0" w:color="auto"/>
                <w:left w:val="none" w:sz="0" w:space="0" w:color="auto"/>
                <w:bottom w:val="none" w:sz="0" w:space="0" w:color="auto"/>
                <w:right w:val="none" w:sz="0" w:space="0" w:color="auto"/>
              </w:divBdr>
            </w:div>
          </w:divsChild>
        </w:div>
        <w:div w:id="1770346765">
          <w:marLeft w:val="0"/>
          <w:marRight w:val="0"/>
          <w:marTop w:val="0"/>
          <w:marBottom w:val="0"/>
          <w:divBdr>
            <w:top w:val="none" w:sz="0" w:space="0" w:color="auto"/>
            <w:left w:val="none" w:sz="0" w:space="0" w:color="auto"/>
            <w:bottom w:val="none" w:sz="0" w:space="0" w:color="auto"/>
            <w:right w:val="none" w:sz="0" w:space="0" w:color="auto"/>
          </w:divBdr>
          <w:divsChild>
            <w:div w:id="695279674">
              <w:marLeft w:val="0"/>
              <w:marRight w:val="0"/>
              <w:marTop w:val="0"/>
              <w:marBottom w:val="0"/>
              <w:divBdr>
                <w:top w:val="none" w:sz="0" w:space="0" w:color="auto"/>
                <w:left w:val="none" w:sz="0" w:space="0" w:color="auto"/>
                <w:bottom w:val="none" w:sz="0" w:space="0" w:color="auto"/>
                <w:right w:val="none" w:sz="0" w:space="0" w:color="auto"/>
              </w:divBdr>
            </w:div>
          </w:divsChild>
        </w:div>
        <w:div w:id="911237393">
          <w:marLeft w:val="0"/>
          <w:marRight w:val="0"/>
          <w:marTop w:val="0"/>
          <w:marBottom w:val="0"/>
          <w:divBdr>
            <w:top w:val="none" w:sz="0" w:space="0" w:color="auto"/>
            <w:left w:val="none" w:sz="0" w:space="0" w:color="auto"/>
            <w:bottom w:val="none" w:sz="0" w:space="0" w:color="auto"/>
            <w:right w:val="none" w:sz="0" w:space="0" w:color="auto"/>
          </w:divBdr>
          <w:divsChild>
            <w:div w:id="1869680789">
              <w:marLeft w:val="0"/>
              <w:marRight w:val="0"/>
              <w:marTop w:val="0"/>
              <w:marBottom w:val="0"/>
              <w:divBdr>
                <w:top w:val="none" w:sz="0" w:space="0" w:color="auto"/>
                <w:left w:val="none" w:sz="0" w:space="0" w:color="auto"/>
                <w:bottom w:val="none" w:sz="0" w:space="0" w:color="auto"/>
                <w:right w:val="none" w:sz="0" w:space="0" w:color="auto"/>
              </w:divBdr>
            </w:div>
          </w:divsChild>
        </w:div>
        <w:div w:id="205682882">
          <w:marLeft w:val="0"/>
          <w:marRight w:val="0"/>
          <w:marTop w:val="0"/>
          <w:marBottom w:val="0"/>
          <w:divBdr>
            <w:top w:val="none" w:sz="0" w:space="0" w:color="auto"/>
            <w:left w:val="none" w:sz="0" w:space="0" w:color="auto"/>
            <w:bottom w:val="none" w:sz="0" w:space="0" w:color="auto"/>
            <w:right w:val="none" w:sz="0" w:space="0" w:color="auto"/>
          </w:divBdr>
          <w:divsChild>
            <w:div w:id="1803574515">
              <w:marLeft w:val="0"/>
              <w:marRight w:val="0"/>
              <w:marTop w:val="0"/>
              <w:marBottom w:val="0"/>
              <w:divBdr>
                <w:top w:val="none" w:sz="0" w:space="0" w:color="auto"/>
                <w:left w:val="none" w:sz="0" w:space="0" w:color="auto"/>
                <w:bottom w:val="none" w:sz="0" w:space="0" w:color="auto"/>
                <w:right w:val="none" w:sz="0" w:space="0" w:color="auto"/>
              </w:divBdr>
            </w:div>
          </w:divsChild>
        </w:div>
        <w:div w:id="706951951">
          <w:marLeft w:val="0"/>
          <w:marRight w:val="0"/>
          <w:marTop w:val="0"/>
          <w:marBottom w:val="0"/>
          <w:divBdr>
            <w:top w:val="none" w:sz="0" w:space="0" w:color="auto"/>
            <w:left w:val="none" w:sz="0" w:space="0" w:color="auto"/>
            <w:bottom w:val="none" w:sz="0" w:space="0" w:color="auto"/>
            <w:right w:val="none" w:sz="0" w:space="0" w:color="auto"/>
          </w:divBdr>
          <w:divsChild>
            <w:div w:id="1336034353">
              <w:marLeft w:val="0"/>
              <w:marRight w:val="0"/>
              <w:marTop w:val="0"/>
              <w:marBottom w:val="0"/>
              <w:divBdr>
                <w:top w:val="none" w:sz="0" w:space="0" w:color="auto"/>
                <w:left w:val="none" w:sz="0" w:space="0" w:color="auto"/>
                <w:bottom w:val="none" w:sz="0" w:space="0" w:color="auto"/>
                <w:right w:val="none" w:sz="0" w:space="0" w:color="auto"/>
              </w:divBdr>
            </w:div>
          </w:divsChild>
        </w:div>
        <w:div w:id="2001498364">
          <w:marLeft w:val="0"/>
          <w:marRight w:val="0"/>
          <w:marTop w:val="0"/>
          <w:marBottom w:val="0"/>
          <w:divBdr>
            <w:top w:val="none" w:sz="0" w:space="0" w:color="auto"/>
            <w:left w:val="none" w:sz="0" w:space="0" w:color="auto"/>
            <w:bottom w:val="none" w:sz="0" w:space="0" w:color="auto"/>
            <w:right w:val="none" w:sz="0" w:space="0" w:color="auto"/>
          </w:divBdr>
          <w:divsChild>
            <w:div w:id="922908113">
              <w:marLeft w:val="0"/>
              <w:marRight w:val="0"/>
              <w:marTop w:val="0"/>
              <w:marBottom w:val="0"/>
              <w:divBdr>
                <w:top w:val="none" w:sz="0" w:space="0" w:color="auto"/>
                <w:left w:val="none" w:sz="0" w:space="0" w:color="auto"/>
                <w:bottom w:val="none" w:sz="0" w:space="0" w:color="auto"/>
                <w:right w:val="none" w:sz="0" w:space="0" w:color="auto"/>
              </w:divBdr>
            </w:div>
          </w:divsChild>
        </w:div>
        <w:div w:id="625896030">
          <w:marLeft w:val="0"/>
          <w:marRight w:val="0"/>
          <w:marTop w:val="0"/>
          <w:marBottom w:val="0"/>
          <w:divBdr>
            <w:top w:val="none" w:sz="0" w:space="0" w:color="auto"/>
            <w:left w:val="none" w:sz="0" w:space="0" w:color="auto"/>
            <w:bottom w:val="none" w:sz="0" w:space="0" w:color="auto"/>
            <w:right w:val="none" w:sz="0" w:space="0" w:color="auto"/>
          </w:divBdr>
          <w:divsChild>
            <w:div w:id="421218817">
              <w:marLeft w:val="0"/>
              <w:marRight w:val="0"/>
              <w:marTop w:val="0"/>
              <w:marBottom w:val="0"/>
              <w:divBdr>
                <w:top w:val="none" w:sz="0" w:space="0" w:color="auto"/>
                <w:left w:val="none" w:sz="0" w:space="0" w:color="auto"/>
                <w:bottom w:val="none" w:sz="0" w:space="0" w:color="auto"/>
                <w:right w:val="none" w:sz="0" w:space="0" w:color="auto"/>
              </w:divBdr>
            </w:div>
          </w:divsChild>
        </w:div>
        <w:div w:id="563101435">
          <w:marLeft w:val="0"/>
          <w:marRight w:val="0"/>
          <w:marTop w:val="0"/>
          <w:marBottom w:val="0"/>
          <w:divBdr>
            <w:top w:val="none" w:sz="0" w:space="0" w:color="auto"/>
            <w:left w:val="none" w:sz="0" w:space="0" w:color="auto"/>
            <w:bottom w:val="none" w:sz="0" w:space="0" w:color="auto"/>
            <w:right w:val="none" w:sz="0" w:space="0" w:color="auto"/>
          </w:divBdr>
          <w:divsChild>
            <w:div w:id="1043940785">
              <w:marLeft w:val="0"/>
              <w:marRight w:val="0"/>
              <w:marTop w:val="0"/>
              <w:marBottom w:val="0"/>
              <w:divBdr>
                <w:top w:val="none" w:sz="0" w:space="0" w:color="auto"/>
                <w:left w:val="none" w:sz="0" w:space="0" w:color="auto"/>
                <w:bottom w:val="none" w:sz="0" w:space="0" w:color="auto"/>
                <w:right w:val="none" w:sz="0" w:space="0" w:color="auto"/>
              </w:divBdr>
            </w:div>
          </w:divsChild>
        </w:div>
        <w:div w:id="1078938896">
          <w:marLeft w:val="0"/>
          <w:marRight w:val="0"/>
          <w:marTop w:val="0"/>
          <w:marBottom w:val="0"/>
          <w:divBdr>
            <w:top w:val="none" w:sz="0" w:space="0" w:color="auto"/>
            <w:left w:val="none" w:sz="0" w:space="0" w:color="auto"/>
            <w:bottom w:val="none" w:sz="0" w:space="0" w:color="auto"/>
            <w:right w:val="none" w:sz="0" w:space="0" w:color="auto"/>
          </w:divBdr>
          <w:divsChild>
            <w:div w:id="869145910">
              <w:marLeft w:val="0"/>
              <w:marRight w:val="0"/>
              <w:marTop w:val="0"/>
              <w:marBottom w:val="0"/>
              <w:divBdr>
                <w:top w:val="none" w:sz="0" w:space="0" w:color="auto"/>
                <w:left w:val="none" w:sz="0" w:space="0" w:color="auto"/>
                <w:bottom w:val="none" w:sz="0" w:space="0" w:color="auto"/>
                <w:right w:val="none" w:sz="0" w:space="0" w:color="auto"/>
              </w:divBdr>
            </w:div>
          </w:divsChild>
        </w:div>
        <w:div w:id="429277950">
          <w:marLeft w:val="0"/>
          <w:marRight w:val="0"/>
          <w:marTop w:val="0"/>
          <w:marBottom w:val="0"/>
          <w:divBdr>
            <w:top w:val="none" w:sz="0" w:space="0" w:color="auto"/>
            <w:left w:val="none" w:sz="0" w:space="0" w:color="auto"/>
            <w:bottom w:val="none" w:sz="0" w:space="0" w:color="auto"/>
            <w:right w:val="none" w:sz="0" w:space="0" w:color="auto"/>
          </w:divBdr>
          <w:divsChild>
            <w:div w:id="2061591650">
              <w:marLeft w:val="0"/>
              <w:marRight w:val="0"/>
              <w:marTop w:val="0"/>
              <w:marBottom w:val="0"/>
              <w:divBdr>
                <w:top w:val="none" w:sz="0" w:space="0" w:color="auto"/>
                <w:left w:val="none" w:sz="0" w:space="0" w:color="auto"/>
                <w:bottom w:val="none" w:sz="0" w:space="0" w:color="auto"/>
                <w:right w:val="none" w:sz="0" w:space="0" w:color="auto"/>
              </w:divBdr>
            </w:div>
          </w:divsChild>
        </w:div>
        <w:div w:id="1180199383">
          <w:marLeft w:val="0"/>
          <w:marRight w:val="0"/>
          <w:marTop w:val="0"/>
          <w:marBottom w:val="0"/>
          <w:divBdr>
            <w:top w:val="none" w:sz="0" w:space="0" w:color="auto"/>
            <w:left w:val="none" w:sz="0" w:space="0" w:color="auto"/>
            <w:bottom w:val="none" w:sz="0" w:space="0" w:color="auto"/>
            <w:right w:val="none" w:sz="0" w:space="0" w:color="auto"/>
          </w:divBdr>
          <w:divsChild>
            <w:div w:id="387338337">
              <w:marLeft w:val="0"/>
              <w:marRight w:val="0"/>
              <w:marTop w:val="0"/>
              <w:marBottom w:val="0"/>
              <w:divBdr>
                <w:top w:val="none" w:sz="0" w:space="0" w:color="auto"/>
                <w:left w:val="none" w:sz="0" w:space="0" w:color="auto"/>
                <w:bottom w:val="none" w:sz="0" w:space="0" w:color="auto"/>
                <w:right w:val="none" w:sz="0" w:space="0" w:color="auto"/>
              </w:divBdr>
            </w:div>
          </w:divsChild>
        </w:div>
        <w:div w:id="1087575884">
          <w:marLeft w:val="0"/>
          <w:marRight w:val="0"/>
          <w:marTop w:val="0"/>
          <w:marBottom w:val="0"/>
          <w:divBdr>
            <w:top w:val="none" w:sz="0" w:space="0" w:color="auto"/>
            <w:left w:val="none" w:sz="0" w:space="0" w:color="auto"/>
            <w:bottom w:val="none" w:sz="0" w:space="0" w:color="auto"/>
            <w:right w:val="none" w:sz="0" w:space="0" w:color="auto"/>
          </w:divBdr>
          <w:divsChild>
            <w:div w:id="1929650453">
              <w:marLeft w:val="0"/>
              <w:marRight w:val="0"/>
              <w:marTop w:val="0"/>
              <w:marBottom w:val="0"/>
              <w:divBdr>
                <w:top w:val="none" w:sz="0" w:space="0" w:color="auto"/>
                <w:left w:val="none" w:sz="0" w:space="0" w:color="auto"/>
                <w:bottom w:val="none" w:sz="0" w:space="0" w:color="auto"/>
                <w:right w:val="none" w:sz="0" w:space="0" w:color="auto"/>
              </w:divBdr>
            </w:div>
          </w:divsChild>
        </w:div>
        <w:div w:id="1535996504">
          <w:marLeft w:val="0"/>
          <w:marRight w:val="0"/>
          <w:marTop w:val="0"/>
          <w:marBottom w:val="0"/>
          <w:divBdr>
            <w:top w:val="none" w:sz="0" w:space="0" w:color="auto"/>
            <w:left w:val="none" w:sz="0" w:space="0" w:color="auto"/>
            <w:bottom w:val="none" w:sz="0" w:space="0" w:color="auto"/>
            <w:right w:val="none" w:sz="0" w:space="0" w:color="auto"/>
          </w:divBdr>
          <w:divsChild>
            <w:div w:id="1089305187">
              <w:marLeft w:val="0"/>
              <w:marRight w:val="0"/>
              <w:marTop w:val="0"/>
              <w:marBottom w:val="0"/>
              <w:divBdr>
                <w:top w:val="none" w:sz="0" w:space="0" w:color="auto"/>
                <w:left w:val="none" w:sz="0" w:space="0" w:color="auto"/>
                <w:bottom w:val="none" w:sz="0" w:space="0" w:color="auto"/>
                <w:right w:val="none" w:sz="0" w:space="0" w:color="auto"/>
              </w:divBdr>
            </w:div>
          </w:divsChild>
        </w:div>
        <w:div w:id="758060068">
          <w:marLeft w:val="0"/>
          <w:marRight w:val="0"/>
          <w:marTop w:val="0"/>
          <w:marBottom w:val="0"/>
          <w:divBdr>
            <w:top w:val="none" w:sz="0" w:space="0" w:color="auto"/>
            <w:left w:val="none" w:sz="0" w:space="0" w:color="auto"/>
            <w:bottom w:val="none" w:sz="0" w:space="0" w:color="auto"/>
            <w:right w:val="none" w:sz="0" w:space="0" w:color="auto"/>
          </w:divBdr>
          <w:divsChild>
            <w:div w:id="1454981109">
              <w:marLeft w:val="0"/>
              <w:marRight w:val="0"/>
              <w:marTop w:val="0"/>
              <w:marBottom w:val="0"/>
              <w:divBdr>
                <w:top w:val="none" w:sz="0" w:space="0" w:color="auto"/>
                <w:left w:val="none" w:sz="0" w:space="0" w:color="auto"/>
                <w:bottom w:val="none" w:sz="0" w:space="0" w:color="auto"/>
                <w:right w:val="none" w:sz="0" w:space="0" w:color="auto"/>
              </w:divBdr>
            </w:div>
          </w:divsChild>
        </w:div>
        <w:div w:id="238172657">
          <w:marLeft w:val="0"/>
          <w:marRight w:val="0"/>
          <w:marTop w:val="0"/>
          <w:marBottom w:val="0"/>
          <w:divBdr>
            <w:top w:val="none" w:sz="0" w:space="0" w:color="auto"/>
            <w:left w:val="none" w:sz="0" w:space="0" w:color="auto"/>
            <w:bottom w:val="none" w:sz="0" w:space="0" w:color="auto"/>
            <w:right w:val="none" w:sz="0" w:space="0" w:color="auto"/>
          </w:divBdr>
          <w:divsChild>
            <w:div w:id="6107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c.undp.org/evaluation/units/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9462D71F21B4F84D0B02A9F5B67FD" ma:contentTypeVersion="13" ma:contentTypeDescription="Create a new document." ma:contentTypeScope="" ma:versionID="9002facfca1aeae148896977e9f32193">
  <xsd:schema xmlns:xsd="http://www.w3.org/2001/XMLSchema" xmlns:xs="http://www.w3.org/2001/XMLSchema" xmlns:p="http://schemas.microsoft.com/office/2006/metadata/properties" xmlns:ns2="f981b0ba-be50-4ef5-86f0-867fbc498883" xmlns:ns3="93b319b4-b36e-4f4d-b018-d7d286b8d164" targetNamespace="http://schemas.microsoft.com/office/2006/metadata/properties" ma:root="true" ma:fieldsID="b5d26331b3ee2878d2b54ab3e89276f5" ns2:_="" ns3:_="">
    <xsd:import namespace="f981b0ba-be50-4ef5-86f0-867fbc498883"/>
    <xsd:import namespace="93b319b4-b36e-4f4d-b018-d7d286b8d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1b0ba-be50-4ef5-86f0-867fbc49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319b4-b36e-4f4d-b018-d7d286b8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00AFC-1BBD-4D98-99EA-E233586E7281}">
  <ds:schemaRefs>
    <ds:schemaRef ds:uri="http://schemas.microsoft.com/sharepoint/v3/contenttype/forms"/>
  </ds:schemaRefs>
</ds:datastoreItem>
</file>

<file path=customXml/itemProps2.xml><?xml version="1.0" encoding="utf-8"?>
<ds:datastoreItem xmlns:ds="http://schemas.openxmlformats.org/officeDocument/2006/customXml" ds:itemID="{C61F0B99-4E5A-4780-A408-5FC78A8C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1b0ba-be50-4ef5-86f0-867fbc498883"/>
    <ds:schemaRef ds:uri="93b319b4-b36e-4f4d-b018-d7d286b8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8656B-543A-493A-B2ED-2DC8DF8986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Fyfe</dc:creator>
  <cp:keywords/>
  <dc:description/>
  <cp:lastModifiedBy>Svetlana Iazykova</cp:lastModifiedBy>
  <cp:revision>2</cp:revision>
  <dcterms:created xsi:type="dcterms:W3CDTF">2021-12-17T18:18:00Z</dcterms:created>
  <dcterms:modified xsi:type="dcterms:W3CDTF">2021-12-17T18:18:00Z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0x0101000DF9462D71F21B4F84D0B02A9F5B67FD</vt:lpwstr>
  </property>
</Properties>
</file>